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t>A N E X O “C”</w:t>
      </w:r>
    </w:p>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t>INFORME FINAL DE INSPECCIÓN TÉCNICA ADMINISTRATIVA A LA CAPITANÍA DE PUERTO DE PUERTO AGUIRRE</w:t>
      </w:r>
    </w:p>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16"/>
          <w:szCs w:val="16"/>
          <w:u w:val="single"/>
          <w:lang w:val="es-MX"/>
        </w:rPr>
      </w:pPr>
      <w:r>
        <w:rPr>
          <w:rFonts w:cs="Arial" w:ascii="Arial" w:hAnsi="Arial"/>
          <w:b/>
          <w:sz w:val="16"/>
          <w:szCs w:val="16"/>
          <w:u w:val="single"/>
          <w:lang w:val="es-MX"/>
        </w:rPr>
      </w:r>
    </w:p>
    <w:tbl>
      <w:tblPr>
        <w:tblStyle w:val="Tablaconcuadrcula"/>
        <w:tblW w:w="17669" w:type="dxa"/>
        <w:jc w:val="center"/>
        <w:tblInd w:w="0" w:type="dxa"/>
        <w:tblCellMar>
          <w:top w:w="0" w:type="dxa"/>
          <w:left w:w="108" w:type="dxa"/>
          <w:bottom w:w="0" w:type="dxa"/>
          <w:right w:w="108" w:type="dxa"/>
        </w:tblCellMar>
        <w:tblLook w:firstRow="1" w:noVBand="1" w:lastRow="0" w:firstColumn="1" w:lastColumn="0" w:noHBand="0" w:val="04a0"/>
      </w:tblPr>
      <w:tblGrid>
        <w:gridCol w:w="563"/>
        <w:gridCol w:w="3347"/>
        <w:gridCol w:w="3260"/>
        <w:gridCol w:w="3118"/>
        <w:gridCol w:w="2878"/>
        <w:gridCol w:w="2395"/>
        <w:gridCol w:w="2107"/>
      </w:tblGrid>
      <w:tr>
        <w:trPr>
          <w:tblHeader w:val="true"/>
        </w:trPr>
        <w:tc>
          <w:tcPr>
            <w:tcW w:w="563"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34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6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11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287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395"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0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c>
          <w:tcPr>
            <w:tcW w:w="15561" w:type="dxa"/>
            <w:gridSpan w:val="6"/>
            <w:tcBorders/>
            <w:vAlign w:val="bottom"/>
          </w:tcPr>
          <w:p>
            <w:pPr>
              <w:pStyle w:val="Normal"/>
              <w:spacing w:lineRule="auto" w:line="240" w:before="0" w:after="0"/>
              <w:jc w:val="both"/>
              <w:rPr>
                <w:rFonts w:ascii="Arial" w:hAnsi="Arial" w:cs="Arial"/>
                <w:b/>
                <w:b/>
                <w:sz w:val="16"/>
                <w:szCs w:val="16"/>
                <w:lang w:val="es-MX"/>
              </w:rPr>
            </w:pPr>
            <w:r>
              <w:rPr>
                <w:rFonts w:cs="Arial" w:ascii="Arial" w:hAnsi="Arial"/>
                <w:b/>
                <w:sz w:val="16"/>
                <w:szCs w:val="16"/>
                <w:lang w:val="es-MX"/>
              </w:rPr>
            </w:r>
          </w:p>
          <w:p>
            <w:pPr>
              <w:pStyle w:val="Normal"/>
              <w:spacing w:lineRule="auto" w:line="240" w:before="0" w:after="0"/>
              <w:jc w:val="both"/>
              <w:rPr>
                <w:rFonts w:ascii="Arial" w:hAnsi="Arial" w:cs="Arial"/>
                <w:b/>
                <w:b/>
                <w:sz w:val="24"/>
                <w:szCs w:val="24"/>
                <w:lang w:val="es-MX"/>
              </w:rPr>
            </w:pPr>
            <w:r>
              <w:rPr>
                <w:rFonts w:eastAsia="Times New Roman" w:cs="Arial" w:ascii="Arial" w:hAnsi="Arial"/>
                <w:b/>
                <w:bCs/>
                <w:sz w:val="24"/>
                <w:szCs w:val="24"/>
                <w:lang w:eastAsia="es-CL"/>
              </w:rPr>
              <w:t>1.- JEFATURA.</w:t>
            </w:r>
          </w:p>
        </w:tc>
        <w:tc>
          <w:tcPr>
            <w:tcW w:w="2107" w:type="dxa"/>
            <w:tcBorders/>
          </w:tcPr>
          <w:p>
            <w:pPr>
              <w:pStyle w:val="Normal"/>
              <w:spacing w:lineRule="auto" w:line="240" w:before="0" w:after="0"/>
              <w:jc w:val="both"/>
              <w:rPr>
                <w:rFonts w:ascii="Arial" w:hAnsi="Arial" w:cs="Arial"/>
                <w:b/>
                <w:b/>
                <w:sz w:val="16"/>
                <w:szCs w:val="16"/>
                <w:lang w:val="es-MX"/>
              </w:rPr>
            </w:pPr>
            <w:r>
              <w:rPr>
                <w:rFonts w:cs="Arial" w:ascii="Arial" w:hAnsi="Arial"/>
                <w:b/>
                <w:sz w:val="16"/>
                <w:szCs w:val="16"/>
                <w:lang w:val="es-MX"/>
              </w:rPr>
            </w:r>
          </w:p>
        </w:tc>
      </w:tr>
      <w:tr>
        <w:trPr/>
        <w:tc>
          <w:tcPr>
            <w:tcW w:w="563"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tc>
        <w:tc>
          <w:tcPr>
            <w:tcW w:w="3347" w:type="dxa"/>
            <w:tcBorders/>
          </w:tcPr>
          <w:p>
            <w:pPr>
              <w:pStyle w:val="Normal"/>
              <w:spacing w:lineRule="auto" w:line="240" w:before="0" w:after="0"/>
              <w:jc w:val="both"/>
              <w:rPr>
                <w:rFonts w:ascii="Arial" w:hAnsi="Arial" w:cs="Arial"/>
                <w:sz w:val="24"/>
                <w:szCs w:val="24"/>
              </w:rPr>
            </w:pPr>
            <w:r>
              <w:rPr>
                <w:rFonts w:cs="Arial" w:ascii="Arial" w:hAnsi="Arial"/>
                <w:sz w:val="24"/>
                <w:szCs w:val="24"/>
              </w:rPr>
              <w:t>El Capitán de Puerto posee un buen dominio de la problemática marítima local, pero no se evidencian informes dirigidos al Sr. Gobernador Marítimo sobre proyectos en desarrollo o variables que puedan afectar la actividad marítima. Lo anterior, toma relevancia considerando los acontecimientos acaecidos el año 2019 en que fue atacada la repartición por parte de la población local.</w:t>
            </w:r>
          </w:p>
        </w:tc>
        <w:tc>
          <w:tcPr>
            <w:tcW w:w="3260" w:type="dxa"/>
            <w:tcBorders>
              <w:left w:val="nil"/>
            </w:tcBorders>
          </w:tcPr>
          <w:p>
            <w:pPr>
              <w:pStyle w:val="Normal"/>
              <w:spacing w:lineRule="auto" w:line="240" w:before="0" w:after="0"/>
              <w:jc w:val="both"/>
              <w:rPr>
                <w:rFonts w:ascii="Arial" w:hAnsi="Arial" w:cs="Arial"/>
                <w:b/>
                <w:b/>
                <w:sz w:val="24"/>
                <w:szCs w:val="24"/>
              </w:rPr>
            </w:pPr>
            <w:r>
              <w:rPr>
                <w:rFonts w:eastAsia="Times New Roman" w:cs="Arial" w:ascii="Arial" w:hAnsi="Arial"/>
                <w:sz w:val="24"/>
                <w:szCs w:val="24"/>
                <w:lang w:eastAsia="es-CL"/>
              </w:rPr>
              <w:t>Manual de Organización y Funcionamiento de Gobernaciones Marítimas y Capitanías de Puerto. Título 5, I.- JEFATURA, C.- Capitán de Puerto, art. 1001°, letra l.-</w:t>
            </w:r>
          </w:p>
        </w:tc>
        <w:tc>
          <w:tcPr>
            <w:tcW w:w="3118" w:type="dxa"/>
            <w:tcBorders>
              <w:left w:val="nil"/>
            </w:tcBorders>
          </w:tcPr>
          <w:p>
            <w:pPr>
              <w:pStyle w:val="Normal"/>
              <w:spacing w:lineRule="auto" w:line="240" w:before="0" w:after="0"/>
              <w:jc w:val="both"/>
              <w:rPr>
                <w:rFonts w:ascii="Arial" w:hAnsi="Arial" w:cs="Arial"/>
                <w:sz w:val="24"/>
                <w:szCs w:val="24"/>
              </w:rPr>
            </w:pPr>
            <w:r>
              <w:rPr>
                <w:rFonts w:cs="Arial" w:ascii="Arial" w:hAnsi="Arial"/>
                <w:sz w:val="24"/>
                <w:szCs w:val="24"/>
              </w:rPr>
              <w:t>El Capitán de Puerto debe emitir informes periódicos a su mando respecto a la situación marítima local y de las relaciones con la comunidad, de manera de anticiparse a situaciones indeseadas que puedan comprometer la imagen de la Autoridad Marítima Local y de la Institución.</w:t>
            </w:r>
          </w:p>
        </w:tc>
        <w:tc>
          <w:tcPr>
            <w:tcW w:w="2878" w:type="dxa"/>
            <w:tcBorders>
              <w:left w:val="nil"/>
            </w:tcBorders>
          </w:tcPr>
          <w:p>
            <w:pPr>
              <w:pStyle w:val="Normal"/>
              <w:spacing w:lineRule="auto" w:line="240" w:before="0" w:after="0"/>
              <w:jc w:val="both"/>
              <w:rPr>
                <w:rFonts w:ascii="Arial" w:hAnsi="Arial" w:cs="Arial"/>
                <w:b/>
                <w:b/>
                <w:sz w:val="24"/>
                <w:szCs w:val="24"/>
              </w:rPr>
            </w:pPr>
            <w:r>
              <w:rPr>
                <w:rFonts w:cs="Arial" w:ascii="Arial" w:hAnsi="Arial"/>
                <w:sz w:val="24"/>
                <w:szCs w:val="24"/>
              </w:rPr>
              <w:t>Se confeccionó O.P.I. N° 001/2021, de fecha 25 de junio de 2021, en la cual se establecen los procedimientos a adoptar respecto a la entrega de información de la situación marítima local, al mando operativo.</w:t>
            </w:r>
          </w:p>
        </w:tc>
        <w:tc>
          <w:tcPr>
            <w:tcW w:w="2395" w:type="dxa"/>
            <w:tcBorders>
              <w:left w:val="nil"/>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07" w:type="dxa"/>
            <w:tcBorders>
              <w:left w:val="nil"/>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479" w:type="dxa"/>
        <w:jc w:val="center"/>
        <w:tblInd w:w="0" w:type="dxa"/>
        <w:tblCellMar>
          <w:top w:w="0" w:type="dxa"/>
          <w:left w:w="108" w:type="dxa"/>
          <w:bottom w:w="0" w:type="dxa"/>
          <w:right w:w="108" w:type="dxa"/>
        </w:tblCellMar>
        <w:tblLook w:firstRow="1" w:noVBand="1" w:lastRow="0" w:firstColumn="1" w:lastColumn="0" w:noHBand="0" w:val="04a0"/>
      </w:tblPr>
      <w:tblGrid>
        <w:gridCol w:w="403"/>
        <w:gridCol w:w="3260"/>
        <w:gridCol w:w="3260"/>
        <w:gridCol w:w="3120"/>
        <w:gridCol w:w="2977"/>
        <w:gridCol w:w="2408"/>
        <w:gridCol w:w="2050"/>
      </w:tblGrid>
      <w:tr>
        <w:trPr>
          <w:tblHeader w:val="true"/>
        </w:trPr>
        <w:tc>
          <w:tcPr>
            <w:tcW w:w="403" w:type="dxa"/>
            <w:tcBorders/>
            <w:vAlign w:val="center"/>
          </w:tcPr>
          <w:p>
            <w:pPr>
              <w:pStyle w:val="Normal"/>
              <w:spacing w:lineRule="auto" w:line="240" w:before="0" w:after="0"/>
              <w:ind w:left="-48" w:right="-108" w:hanging="65"/>
              <w:jc w:val="center"/>
              <w:rPr>
                <w:rFonts w:ascii="Arial" w:hAnsi="Arial" w:cs="Arial"/>
                <w:b/>
                <w:b/>
                <w:sz w:val="24"/>
                <w:szCs w:val="24"/>
                <w:lang w:val="es-MX"/>
              </w:rPr>
            </w:pPr>
            <w:r>
              <w:rPr>
                <w:rFonts w:cs="Arial" w:ascii="Arial" w:hAnsi="Arial"/>
                <w:b/>
                <w:sz w:val="24"/>
                <w:szCs w:val="24"/>
                <w:lang w:val="es-MX"/>
              </w:rPr>
              <w:t>N°</w:t>
            </w:r>
          </w:p>
        </w:tc>
        <w:tc>
          <w:tcPr>
            <w:tcW w:w="326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6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12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297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8"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5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403"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b)</w:t>
            </w:r>
          </w:p>
        </w:tc>
        <w:tc>
          <w:tcPr>
            <w:tcW w:w="326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evidencia que la planificación subsidiaria del Capitán de Puerto, no considera los objetivos establecidos por la Gobernación Marítima de Aysén y sólo detalla tareas y funciones diseñadas y asignadas a nivel local.</w:t>
            </w:r>
          </w:p>
        </w:tc>
        <w:tc>
          <w:tcPr>
            <w:tcW w:w="3260" w:type="dxa"/>
            <w:tcBorders/>
          </w:tcPr>
          <w:p>
            <w:pPr>
              <w:pStyle w:val="Normal"/>
              <w:spacing w:lineRule="auto" w:line="240" w:before="0" w:after="0"/>
              <w:jc w:val="both"/>
              <w:rPr>
                <w:rFonts w:ascii="Arial" w:hAnsi="Arial" w:cs="Arial"/>
                <w:b/>
                <w:b/>
                <w:sz w:val="24"/>
                <w:szCs w:val="24"/>
              </w:rPr>
            </w:pPr>
            <w:r>
              <w:rPr>
                <w:rFonts w:eastAsia="Times New Roman" w:cs="Arial" w:ascii="Arial" w:hAnsi="Arial"/>
                <w:sz w:val="24"/>
                <w:szCs w:val="24"/>
                <w:lang w:eastAsia="es-CL"/>
              </w:rPr>
              <w:t>Manual de Organización y Funcionamiento de Gobernaciones Marítimas y Capitanías de Puerto. Título 5, I.- JEFATURA, C.- Capitán de Puerto, art. 1001°, letra C.-</w:t>
            </w:r>
          </w:p>
        </w:tc>
        <w:tc>
          <w:tcPr>
            <w:tcW w:w="3120" w:type="dxa"/>
            <w:tcBorders/>
            <w:vAlign w:val="center"/>
          </w:tcPr>
          <w:p>
            <w:pPr>
              <w:pStyle w:val="Normal"/>
              <w:spacing w:lineRule="auto" w:line="240" w:before="0" w:after="0"/>
              <w:jc w:val="both"/>
              <w:rPr>
                <w:rFonts w:ascii="Arial" w:hAnsi="Arial" w:cs="Arial"/>
                <w:sz w:val="24"/>
                <w:szCs w:val="24"/>
              </w:rPr>
            </w:pPr>
            <w:r>
              <w:rPr>
                <w:rFonts w:cs="Arial" w:ascii="Arial" w:hAnsi="Arial"/>
                <w:sz w:val="24"/>
                <w:szCs w:val="24"/>
              </w:rPr>
              <w:t xml:space="preserve">El Capitán de Puerto, debe desarrollar su planificación subsidiaria considerando los objetivos establecidos por el Gobernador Marítimo de Aysén, objeto mantener el alineamiento organizacional. Remitir el documento con la corrección correspondiente. </w:t>
            </w:r>
          </w:p>
        </w:tc>
        <w:tc>
          <w:tcPr>
            <w:tcW w:w="2977" w:type="dxa"/>
            <w:tcBorders/>
          </w:tcPr>
          <w:p>
            <w:pPr>
              <w:pStyle w:val="Normal"/>
              <w:spacing w:lineRule="auto" w:line="240" w:before="0" w:after="0"/>
              <w:jc w:val="both"/>
              <w:rPr>
                <w:rFonts w:ascii="Arial" w:hAnsi="Arial" w:cs="Arial"/>
                <w:sz w:val="24"/>
                <w:szCs w:val="24"/>
              </w:rPr>
            </w:pPr>
            <w:r>
              <w:rPr>
                <w:rFonts w:cs="Arial" w:ascii="Arial" w:hAnsi="Arial"/>
                <w:sz w:val="24"/>
                <w:szCs w:val="24"/>
              </w:rPr>
              <w:t>Se confeccionó Plan C.P. AGU. Res. N° 3195/02 Vrs., de fecha 25 de junio de 2021, correspondiente al Plan Subsidiario de Actividades de la Capitanía de Puerto de Puerto Aguirre. En anexo “E” se adjunta anexo “C” y “D” del citado Plan con Programa tentativo principales actividades y metas T.M.O. y de fiscalización CC.MM.</w:t>
            </w:r>
          </w:p>
        </w:tc>
        <w:tc>
          <w:tcPr>
            <w:tcW w:w="2408"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050"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r>
        <w:trPr>
          <w:tblHeader w:val="true"/>
        </w:trPr>
        <w:tc>
          <w:tcPr>
            <w:tcW w:w="403"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c)</w:t>
            </w:r>
          </w:p>
        </w:tc>
        <w:tc>
          <w:tcPr>
            <w:tcW w:w="3260" w:type="dxa"/>
            <w:tcBorders/>
          </w:tcPr>
          <w:p>
            <w:pPr>
              <w:pStyle w:val="Normal"/>
              <w:spacing w:lineRule="auto" w:line="240" w:before="0" w:after="0"/>
              <w:jc w:val="both"/>
              <w:rPr>
                <w:rFonts w:ascii="Arial" w:hAnsi="Arial" w:cs="Arial"/>
                <w:sz w:val="24"/>
                <w:szCs w:val="24"/>
              </w:rPr>
            </w:pPr>
            <w:r>
              <w:rPr>
                <w:rFonts w:cs="Arial" w:ascii="Arial" w:hAnsi="Arial"/>
                <w:sz w:val="24"/>
                <w:szCs w:val="24"/>
              </w:rPr>
              <w:t>Se evidencia que no se ha efectuado instrucción de la planificación subsidiaria llevada a cabo por la Capitanía de Puerto. Interrogado tres personas de la dotación, no conocen el plan, así como tampoco conocen el plan emitido por la Gobernación Marítima de Aysén.</w:t>
            </w:r>
          </w:p>
        </w:tc>
        <w:tc>
          <w:tcPr>
            <w:tcW w:w="3260" w:type="dxa"/>
            <w:tcBorders/>
          </w:tcPr>
          <w:p>
            <w:pPr>
              <w:pStyle w:val="Normal"/>
              <w:spacing w:lineRule="auto" w:line="240" w:before="0" w:after="0"/>
              <w:jc w:val="both"/>
              <w:rPr>
                <w:rFonts w:ascii="Arial" w:hAnsi="Arial" w:cs="Arial"/>
                <w:b/>
                <w:b/>
                <w:sz w:val="24"/>
                <w:szCs w:val="24"/>
              </w:rPr>
            </w:pPr>
            <w:r>
              <w:rPr>
                <w:rFonts w:eastAsia="Times New Roman" w:cs="Arial" w:ascii="Arial" w:hAnsi="Arial"/>
                <w:sz w:val="24"/>
                <w:szCs w:val="24"/>
                <w:lang w:eastAsia="es-CL"/>
              </w:rPr>
              <w:t>Manual de Organización y Funcionamiento de Gobernaciones Marítimas y Capitanías de Puerto. Título 5, I.- JEFATURA, C.- Capitán de Puerto, art. 1001°, letra C.-</w:t>
            </w:r>
          </w:p>
        </w:tc>
        <w:tc>
          <w:tcPr>
            <w:tcW w:w="3120"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Instruir al personal dependiente respecto a los planes vigentes que regulan el accionar de la Autoridad Marítima Local, remitiendo el acto administrativo que da cuenta de la instrucción realizada. </w:t>
            </w:r>
          </w:p>
        </w:tc>
        <w:tc>
          <w:tcPr>
            <w:tcW w:w="2977" w:type="dxa"/>
            <w:tcBorders/>
          </w:tcPr>
          <w:p>
            <w:pPr>
              <w:pStyle w:val="Normal"/>
              <w:spacing w:lineRule="auto" w:line="240" w:before="0" w:after="0"/>
              <w:jc w:val="both"/>
              <w:rPr>
                <w:rFonts w:ascii="Arial" w:hAnsi="Arial" w:cs="Arial"/>
                <w:sz w:val="24"/>
                <w:szCs w:val="24"/>
              </w:rPr>
            </w:pPr>
            <w:r>
              <w:rPr>
                <w:rFonts w:cs="Arial" w:ascii="Arial" w:hAnsi="Arial"/>
                <w:sz w:val="24"/>
                <w:szCs w:val="24"/>
              </w:rPr>
              <w:t>Se efectuó instrucción a la dotación del  Plan C.P. AGU. Res. N° 3195/02 Vrs., de fecha 25 de junio de 2021, correspondiente al Plan Subsidiario de actividades de la Capitanía de Puerto de Puerto Aguirre, siendo este remitido a los respectivos correos institucionales de  los  jefes de departamentos.</w:t>
            </w:r>
          </w:p>
          <w:p>
            <w:pPr>
              <w:pStyle w:val="Normal"/>
              <w:spacing w:lineRule="auto" w:line="240" w:before="0" w:after="0"/>
              <w:jc w:val="both"/>
              <w:rPr>
                <w:rFonts w:ascii="Arial" w:hAnsi="Arial" w:cs="Arial"/>
                <w:sz w:val="24"/>
                <w:szCs w:val="24"/>
              </w:rPr>
            </w:pPr>
            <w:r>
              <w:rPr>
                <w:rFonts w:cs="Arial" w:ascii="Arial" w:hAnsi="Arial"/>
                <w:sz w:val="24"/>
                <w:szCs w:val="24"/>
              </w:rPr>
              <w:t>Finalmente se adjunta en el anexo “E” Acta de Instrucción, de fecha 1 de julio de 2021.</w:t>
            </w:r>
          </w:p>
        </w:tc>
        <w:tc>
          <w:tcPr>
            <w:tcW w:w="240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050"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609" w:type="dxa"/>
        <w:jc w:val="center"/>
        <w:tblInd w:w="0" w:type="dxa"/>
        <w:tblCellMar>
          <w:top w:w="0" w:type="dxa"/>
          <w:left w:w="108" w:type="dxa"/>
          <w:bottom w:w="0" w:type="dxa"/>
          <w:right w:w="108" w:type="dxa"/>
        </w:tblCellMar>
        <w:tblLook w:firstRow="1" w:noVBand="1" w:lastRow="0" w:firstColumn="1" w:lastColumn="0" w:noHBand="0" w:val="04a0"/>
      </w:tblPr>
      <w:tblGrid>
        <w:gridCol w:w="311"/>
        <w:gridCol w:w="2828"/>
        <w:gridCol w:w="2240"/>
        <w:gridCol w:w="3613"/>
        <w:gridCol w:w="4177"/>
        <w:gridCol w:w="2254"/>
        <w:gridCol w:w="2185"/>
      </w:tblGrid>
      <w:tr>
        <w:trPr>
          <w:tblHeader w:val="true"/>
        </w:trPr>
        <w:tc>
          <w:tcPr>
            <w:tcW w:w="311"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82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24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61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7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254"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 A LAS RESPUESTAS DEL ORG. INSPECCIONADO</w:t>
            </w:r>
          </w:p>
        </w:tc>
        <w:tc>
          <w:tcPr>
            <w:tcW w:w="218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311"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d)</w:t>
            </w:r>
          </w:p>
        </w:tc>
        <w:tc>
          <w:tcPr>
            <w:tcW w:w="2828"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evidencia que existe una observación al Acta de Entrega de la Capitanía de Puerto que a la fecha no ha sido subsanada. Lo anterior, tiene relación con los conectores magnéticos para instalación de barreras de combate a la contaminación, los cuales perdieron su capacidad magnética, por lo cual, no cumplirán su función en caso de un derrame de hidrocarburos.</w:t>
            </w:r>
          </w:p>
        </w:tc>
        <w:tc>
          <w:tcPr>
            <w:tcW w:w="2240" w:type="dxa"/>
            <w:tcBorders/>
          </w:tcPr>
          <w:p>
            <w:pPr>
              <w:pStyle w:val="Normal"/>
              <w:spacing w:lineRule="auto" w:line="240" w:before="0" w:after="0"/>
              <w:jc w:val="both"/>
              <w:rPr>
                <w:rFonts w:ascii="Arial" w:hAnsi="Arial" w:cs="Arial"/>
                <w:sz w:val="24"/>
                <w:szCs w:val="24"/>
              </w:rPr>
            </w:pPr>
            <w:r>
              <w:rPr>
                <w:rFonts w:cs="Arial" w:ascii="Arial" w:hAnsi="Arial"/>
                <w:sz w:val="24"/>
                <w:szCs w:val="24"/>
              </w:rPr>
              <w:t>Reglamento de Inspecciones de la Armada N° 3-20/8, Anexo “5”, Apéndice N° 1.</w:t>
            </w:r>
          </w:p>
        </w:tc>
        <w:tc>
          <w:tcPr>
            <w:tcW w:w="3613" w:type="dxa"/>
            <w:tcBorders/>
            <w:vAlign w:val="center"/>
          </w:tcPr>
          <w:p>
            <w:pPr>
              <w:pStyle w:val="ListParagraph"/>
              <w:numPr>
                <w:ilvl w:val="0"/>
                <w:numId w:val="4"/>
              </w:numPr>
              <w:spacing w:lineRule="auto" w:line="240" w:before="0" w:after="0"/>
              <w:ind w:left="461" w:hanging="426"/>
              <w:contextualSpacing/>
              <w:jc w:val="both"/>
              <w:rPr>
                <w:rFonts w:ascii="Arial" w:hAnsi="Arial" w:cs="Arial"/>
                <w:sz w:val="24"/>
                <w:szCs w:val="24"/>
              </w:rPr>
            </w:pPr>
            <w:r>
              <w:rPr>
                <w:rFonts w:cs="Arial" w:ascii="Arial" w:hAnsi="Arial"/>
                <w:sz w:val="24"/>
                <w:szCs w:val="24"/>
              </w:rPr>
              <w:t>Considerando el impacto de no contar con el equipamiento operativo ante una situación de un derrame de hidrocarburos, esta observación debe ser subsanada a la brevedad, debiendo gestionar los recursos necesarios en carácter de urgente con su mando. Remitir documento que indique que la observación está superada y las barreras de combate a la contaminación totalmente operativas.</w:t>
            </w:r>
          </w:p>
          <w:p>
            <w:pPr>
              <w:pStyle w:val="ListParagraph"/>
              <w:numPr>
                <w:ilvl w:val="0"/>
                <w:numId w:val="4"/>
              </w:numPr>
              <w:spacing w:lineRule="auto" w:line="240" w:before="0" w:after="0"/>
              <w:ind w:left="461" w:hanging="426"/>
              <w:contextualSpacing/>
              <w:jc w:val="both"/>
              <w:rPr>
                <w:rFonts w:ascii="Arial" w:hAnsi="Arial" w:cs="Arial"/>
                <w:sz w:val="24"/>
                <w:szCs w:val="24"/>
              </w:rPr>
            </w:pPr>
            <w:r>
              <w:rPr>
                <w:rFonts w:cs="Arial" w:ascii="Arial" w:hAnsi="Arial"/>
                <w:sz w:val="24"/>
                <w:szCs w:val="24"/>
              </w:rPr>
              <w:t xml:space="preserve">Informar medidas adoptadas a nivel jurisdiccional, tendientes a evitar la ocurrencia a futuro. </w:t>
            </w:r>
          </w:p>
        </w:tc>
        <w:tc>
          <w:tcPr>
            <w:tcW w:w="4177" w:type="dxa"/>
            <w:tcBorders/>
          </w:tcPr>
          <w:p>
            <w:pPr>
              <w:pStyle w:val="ListParagraph"/>
              <w:numPr>
                <w:ilvl w:val="0"/>
                <w:numId w:val="5"/>
              </w:numPr>
              <w:spacing w:lineRule="auto" w:line="240" w:before="0" w:after="0"/>
              <w:ind w:left="459" w:hanging="459"/>
              <w:contextualSpacing/>
              <w:jc w:val="both"/>
              <w:rPr>
                <w:rFonts w:ascii="Arial" w:hAnsi="Arial" w:cs="Arial"/>
                <w:sz w:val="24"/>
                <w:szCs w:val="24"/>
                <w:lang w:val="es-MX"/>
              </w:rPr>
            </w:pPr>
            <w:r>
              <w:rPr>
                <w:rFonts w:cs="Arial" w:ascii="Arial" w:hAnsi="Arial"/>
                <w:sz w:val="24"/>
                <w:szCs w:val="24"/>
                <w:lang w:val="es-MX"/>
              </w:rPr>
              <w:t>Se inició el trámite de baja definitiva del servicio de 02 conectores magnéticos (MAGNÉTICO 800 MM.) y su reemplazo ante la DIRINMAR, mediante documento CAPUERTOAGU MEMORD N° 4217/02/2021,  de fecha 19 de julio de 2021, el que adjunta el informe técnico C.P. AGU. Nº 01/2021, donde se establece la pérdida de capacidad magnética en conectores barreras de bahía, tipo valla.</w:t>
            </w:r>
          </w:p>
          <w:p>
            <w:pPr>
              <w:pStyle w:val="ListParagraph"/>
              <w:numPr>
                <w:ilvl w:val="0"/>
                <w:numId w:val="5"/>
              </w:numPr>
              <w:spacing w:lineRule="auto" w:line="240" w:before="0" w:after="0"/>
              <w:ind w:left="459" w:hanging="459"/>
              <w:contextualSpacing/>
              <w:jc w:val="both"/>
              <w:rPr>
                <w:rFonts w:ascii="Arial" w:hAnsi="Arial" w:cs="Arial"/>
                <w:sz w:val="24"/>
                <w:szCs w:val="24"/>
                <w:lang w:val="es-MX"/>
              </w:rPr>
            </w:pPr>
            <w:r>
              <w:rPr>
                <w:rFonts w:cs="Arial" w:ascii="Arial" w:hAnsi="Arial"/>
                <w:sz w:val="24"/>
                <w:szCs w:val="24"/>
                <w:lang w:val="es-MX"/>
              </w:rPr>
              <w:t>Se efectuó instrucción por personal logístico de la Capitanía de Puerto “Sobre la baja del material y sistema de mantenimiento planificado de la Armada”, conforme al Acta de Instrucción C.P. AGU. Ord N° 14/202, de fecha 12 de julio de año 2021.</w:t>
            </w:r>
          </w:p>
          <w:p>
            <w:pPr>
              <w:pStyle w:val="ListParagraph"/>
              <w:numPr>
                <w:ilvl w:val="0"/>
                <w:numId w:val="5"/>
              </w:numPr>
              <w:spacing w:lineRule="auto" w:line="240" w:before="0" w:after="0"/>
              <w:ind w:left="459" w:hanging="459"/>
              <w:contextualSpacing/>
              <w:jc w:val="both"/>
              <w:rPr>
                <w:rFonts w:ascii="Arial" w:hAnsi="Arial" w:cs="Arial"/>
                <w:lang w:val="es-MX"/>
              </w:rPr>
            </w:pPr>
            <w:r>
              <w:rPr>
                <w:rFonts w:cs="Arial" w:ascii="Arial" w:hAnsi="Arial"/>
                <w:sz w:val="24"/>
                <w:szCs w:val="24"/>
                <w:lang w:val="es-MX"/>
              </w:rPr>
              <w:t>Se adjunta en anexo “E”, MEMORD N° 4217/02/2021, Infotec N° 01/2021 y Acta de Instrucción.</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tc>
        <w:tc>
          <w:tcPr>
            <w:tcW w:w="2254"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185"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498" w:type="dxa"/>
        <w:jc w:val="center"/>
        <w:tblInd w:w="0" w:type="dxa"/>
        <w:tblCellMar>
          <w:top w:w="0" w:type="dxa"/>
          <w:left w:w="108" w:type="dxa"/>
          <w:bottom w:w="0" w:type="dxa"/>
          <w:right w:w="108" w:type="dxa"/>
        </w:tblCellMar>
        <w:tblLook w:firstRow="1" w:noVBand="1" w:lastRow="0" w:firstColumn="1" w:lastColumn="0" w:noHBand="0" w:val="04a0"/>
      </w:tblPr>
      <w:tblGrid>
        <w:gridCol w:w="514"/>
        <w:gridCol w:w="2560"/>
        <w:gridCol w:w="2269"/>
        <w:gridCol w:w="3544"/>
        <w:gridCol w:w="3968"/>
        <w:gridCol w:w="2551"/>
        <w:gridCol w:w="2091"/>
      </w:tblGrid>
      <w:tr>
        <w:trPr>
          <w:tblHeader w:val="true"/>
        </w:trPr>
        <w:tc>
          <w:tcPr>
            <w:tcW w:w="514"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56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26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54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6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551"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9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406" w:type="dxa"/>
            <w:gridSpan w:val="6"/>
            <w:tcBorders/>
          </w:tcPr>
          <w:p>
            <w:pPr>
              <w:pStyle w:val="Normal"/>
              <w:spacing w:lineRule="auto" w:line="240" w:before="0" w:after="0"/>
              <w:rPr>
                <w:rFonts w:ascii="Arial" w:hAnsi="Arial" w:eastAsia="Times New Roman" w:cs="Arial"/>
                <w:b/>
                <w:b/>
                <w:bCs/>
                <w:sz w:val="16"/>
                <w:szCs w:val="16"/>
                <w:lang w:eastAsia="es-CL"/>
              </w:rPr>
            </w:pPr>
            <w:r>
              <w:rPr>
                <w:rFonts w:eastAsia="Times New Roman" w:cs="Arial" w:ascii="Arial" w:hAnsi="Arial"/>
                <w:b/>
                <w:bCs/>
                <w:sz w:val="16"/>
                <w:szCs w:val="16"/>
                <w:lang w:eastAsia="es-CL"/>
              </w:rPr>
            </w:r>
          </w:p>
          <w:p>
            <w:pPr>
              <w:pStyle w:val="Normal"/>
              <w:spacing w:lineRule="auto" w:line="240" w:before="0" w:after="0"/>
              <w:jc w:val="both"/>
              <w:rPr>
                <w:rFonts w:ascii="Arial" w:hAnsi="Arial" w:cs="Arial"/>
                <w:b/>
                <w:b/>
                <w:sz w:val="16"/>
                <w:szCs w:val="16"/>
                <w:highlight w:val="yellow"/>
                <w:lang w:val="es-MX"/>
              </w:rPr>
            </w:pPr>
            <w:r>
              <w:rPr>
                <w:rFonts w:eastAsia="Times New Roman" w:cs="Arial" w:ascii="Arial" w:hAnsi="Arial"/>
                <w:b/>
                <w:bCs/>
                <w:sz w:val="24"/>
                <w:szCs w:val="24"/>
                <w:lang w:eastAsia="es-CL"/>
              </w:rPr>
              <w:t>2.- SUBJEFATURA.</w:t>
            </w:r>
          </w:p>
        </w:tc>
        <w:tc>
          <w:tcPr>
            <w:tcW w:w="2091" w:type="dxa"/>
            <w:tcBorders/>
          </w:tcPr>
          <w:p>
            <w:pPr>
              <w:pStyle w:val="Normal"/>
              <w:spacing w:lineRule="auto" w:line="240" w:before="0" w:after="0"/>
              <w:rPr>
                <w:rFonts w:ascii="Arial" w:hAnsi="Arial" w:eastAsia="Times New Roman" w:cs="Arial"/>
                <w:b/>
                <w:b/>
                <w:bCs/>
                <w:sz w:val="16"/>
                <w:szCs w:val="16"/>
                <w:lang w:eastAsia="es-CL"/>
              </w:rPr>
            </w:pPr>
            <w:r>
              <w:rPr>
                <w:rFonts w:eastAsia="Times New Roman" w:cs="Arial" w:ascii="Arial" w:hAnsi="Arial"/>
                <w:b/>
                <w:bCs/>
                <w:sz w:val="16"/>
                <w:szCs w:val="16"/>
                <w:lang w:eastAsia="es-CL"/>
              </w:rPr>
            </w:r>
          </w:p>
        </w:tc>
      </w:tr>
      <w:tr>
        <w:trPr>
          <w:tblHeader w:val="true"/>
        </w:trPr>
        <w:tc>
          <w:tcPr>
            <w:tcW w:w="514"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tc>
        <w:tc>
          <w:tcPr>
            <w:tcW w:w="256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En revisión a Libros de las Experiencias SAR, de Combate a la Contaminación, Procedimientos Policiales y Alteraciones al Orden Público, se detecta que todos ellos son llevados como Libro de Acaecimientos y no cuentan con experiencias.</w:t>
            </w:r>
          </w:p>
        </w:tc>
        <w:tc>
          <w:tcPr>
            <w:tcW w:w="2269" w:type="dxa"/>
            <w:tcBorders/>
          </w:tcPr>
          <w:p>
            <w:pPr>
              <w:pStyle w:val="Normal"/>
              <w:spacing w:lineRule="auto" w:line="240" w:before="0" w:after="0"/>
              <w:jc w:val="both"/>
              <w:rPr>
                <w:rFonts w:ascii="Arial" w:hAnsi="Arial" w:cs="Arial"/>
                <w:sz w:val="24"/>
                <w:szCs w:val="24"/>
              </w:rPr>
            </w:pPr>
            <w:r>
              <w:rPr>
                <w:rFonts w:eastAsia="Times New Roman" w:cs="Arial" w:ascii="Arial" w:hAnsi="Arial"/>
                <w:sz w:val="24"/>
                <w:szCs w:val="24"/>
                <w:lang w:eastAsia="es-CL"/>
              </w:rPr>
              <w:t>Manual de Organización y Funcionamiento de Gobernaciones Marítimas y Capitanías de Puerto. Título 5, II.- SUBJEFATURA, A.- Oficina de Asuntos Regionales, art. 1007°, letra Ñ.-</w:t>
            </w:r>
          </w:p>
        </w:tc>
        <w:tc>
          <w:tcPr>
            <w:tcW w:w="3544"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Reorientar el uso de los libros y registrar en ellos las respectivas experiencias de las situaciones que ameriten ser registradas. Remitir el documento con la instrucción correspondiente que norma los libros de experiencias observados. </w:t>
            </w:r>
          </w:p>
        </w:tc>
        <w:tc>
          <w:tcPr>
            <w:tcW w:w="3968" w:type="dxa"/>
            <w:tcBorders/>
            <w:vAlign w:val="center"/>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Se </w:t>
            </w:r>
            <w:r>
              <w:rPr>
                <w:rFonts w:cs="Arial" w:ascii="Arial" w:hAnsi="Arial"/>
                <w:sz w:val="24"/>
                <w:szCs w:val="24"/>
              </w:rPr>
              <w:t>confeccionó</w:t>
            </w:r>
            <w:r>
              <w:rPr>
                <w:rFonts w:cs="Arial" w:ascii="Arial" w:hAnsi="Arial"/>
                <w:sz w:val="24"/>
                <w:szCs w:val="24"/>
                <w:lang w:val="es-MX"/>
              </w:rPr>
              <w:t xml:space="preserve"> O.P.I. Nº 222/2021, de fecha 30 de junio de 2021, dispone ingresos de experiencias, responsabilidades y obligaciones que deberán cumplir personal de la repartición, en los diferentes escenarios marítimos portuarios, la cual deberá ser ingresada al libro de experiencias.</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Se adjunta en el anexo “E” Acta de Instrucción, de fecha 1 de julio de 2021.</w:t>
            </w:r>
          </w:p>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tc>
        <w:tc>
          <w:tcPr>
            <w:tcW w:w="2551"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091" w:type="dxa"/>
            <w:tcBorders/>
          </w:tcPr>
          <w:p>
            <w:pPr>
              <w:pStyle w:val="Normal"/>
              <w:spacing w:lineRule="auto" w:line="240" w:before="0" w:after="0"/>
              <w:ind w:left="-366" w:firstLine="366"/>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609" w:type="dxa"/>
        <w:jc w:val="center"/>
        <w:tblInd w:w="0" w:type="dxa"/>
        <w:tblCellMar>
          <w:top w:w="0" w:type="dxa"/>
          <w:left w:w="108" w:type="dxa"/>
          <w:bottom w:w="0" w:type="dxa"/>
          <w:right w:w="108" w:type="dxa"/>
        </w:tblCellMar>
        <w:tblLook w:firstRow="1" w:noVBand="1" w:lastRow="0" w:firstColumn="1" w:lastColumn="0" w:noHBand="0" w:val="04a0"/>
      </w:tblPr>
      <w:tblGrid>
        <w:gridCol w:w="598"/>
        <w:gridCol w:w="2458"/>
        <w:gridCol w:w="2401"/>
        <w:gridCol w:w="3486"/>
        <w:gridCol w:w="3893"/>
        <w:gridCol w:w="2552"/>
        <w:gridCol w:w="2220"/>
      </w:tblGrid>
      <w:tr>
        <w:trPr>
          <w:tblHeader w:val="true"/>
        </w:trPr>
        <w:tc>
          <w:tcPr>
            <w:tcW w:w="59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5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40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48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8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552"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22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388" w:type="dxa"/>
            <w:gridSpan w:val="6"/>
            <w:tcBorders/>
            <w:vAlign w:val="center"/>
          </w:tcPr>
          <w:p>
            <w:pPr>
              <w:pStyle w:val="Normal"/>
              <w:spacing w:lineRule="auto" w:line="240" w:before="0" w:after="0"/>
              <w:jc w:val="both"/>
              <w:rPr>
                <w:rFonts w:ascii="Arial" w:hAnsi="Arial" w:cs="Arial"/>
                <w:b/>
                <w:b/>
                <w:sz w:val="16"/>
                <w:szCs w:val="16"/>
                <w:highlight w:val="yellow"/>
                <w:lang w:val="es-MX"/>
              </w:rPr>
            </w:pPr>
            <w:r>
              <w:rPr>
                <w:rFonts w:cs="Arial" w:ascii="Arial" w:hAnsi="Arial"/>
                <w:b/>
                <w:sz w:val="16"/>
                <w:szCs w:val="16"/>
                <w:highlight w:val="yellow"/>
                <w:lang w:val="es-MX"/>
              </w:rPr>
            </w:r>
          </w:p>
          <w:p>
            <w:pPr>
              <w:pStyle w:val="Normal"/>
              <w:spacing w:lineRule="auto" w:line="240" w:before="0" w:after="0"/>
              <w:jc w:val="both"/>
              <w:rPr>
                <w:rFonts w:ascii="Arial" w:hAnsi="Arial" w:cs="Arial"/>
                <w:b/>
                <w:b/>
                <w:sz w:val="16"/>
                <w:szCs w:val="16"/>
                <w:highlight w:val="yellow"/>
                <w:lang w:val="es-MX"/>
              </w:rPr>
            </w:pPr>
            <w:r>
              <w:rPr>
                <w:rFonts w:eastAsia="Times New Roman" w:cs="Arial" w:ascii="Arial" w:hAnsi="Arial"/>
                <w:b/>
                <w:bCs/>
                <w:sz w:val="24"/>
                <w:szCs w:val="24"/>
                <w:lang w:eastAsia="es-CL"/>
              </w:rPr>
              <w:t>3.- JEFATURA DEPTO. SEGURIDAD Y OPERACIONES MARÍTIMAS.</w:t>
            </w:r>
          </w:p>
        </w:tc>
        <w:tc>
          <w:tcPr>
            <w:tcW w:w="2220" w:type="dxa"/>
            <w:tcBorders/>
          </w:tcPr>
          <w:p>
            <w:pPr>
              <w:pStyle w:val="Normal"/>
              <w:spacing w:lineRule="auto" w:line="240" w:before="0" w:after="0"/>
              <w:jc w:val="both"/>
              <w:rPr>
                <w:rFonts w:ascii="Arial" w:hAnsi="Arial" w:cs="Arial"/>
                <w:b/>
                <w:b/>
                <w:sz w:val="16"/>
                <w:szCs w:val="16"/>
                <w:highlight w:val="yellow"/>
                <w:lang w:val="es-MX"/>
              </w:rPr>
            </w:pPr>
            <w:r>
              <w:rPr>
                <w:rFonts w:cs="Arial" w:ascii="Arial" w:hAnsi="Arial"/>
                <w:b/>
                <w:sz w:val="16"/>
                <w:szCs w:val="16"/>
                <w:highlight w:val="yellow"/>
                <w:lang w:val="es-MX"/>
              </w:rPr>
            </w:r>
          </w:p>
        </w:tc>
      </w:tr>
      <w:tr>
        <w:trPr>
          <w:tblHeader w:val="true"/>
        </w:trPr>
        <w:tc>
          <w:tcPr>
            <w:tcW w:w="598"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p>
            <w:pPr>
              <w:pStyle w:val="Normal"/>
              <w:spacing w:lineRule="auto" w:line="240" w:before="0" w:after="0"/>
              <w:jc w:val="center"/>
              <w:rPr>
                <w:rFonts w:ascii="Arial" w:hAnsi="Arial" w:cs="Arial"/>
                <w:sz w:val="24"/>
                <w:szCs w:val="24"/>
                <w:highlight w:val="yellow"/>
                <w:lang w:val="es-MX"/>
              </w:rPr>
            </w:pPr>
            <w:r>
              <w:rPr>
                <w:rFonts w:cs="Arial" w:ascii="Arial" w:hAnsi="Arial"/>
                <w:sz w:val="24"/>
                <w:szCs w:val="24"/>
                <w:highlight w:val="yellow"/>
                <w:lang w:val="es-MX"/>
              </w:rPr>
            </w:r>
          </w:p>
          <w:p>
            <w:pPr>
              <w:pStyle w:val="Normal"/>
              <w:spacing w:lineRule="auto" w:line="240" w:before="0" w:after="0"/>
              <w:jc w:val="center"/>
              <w:rPr>
                <w:rFonts w:ascii="Arial" w:hAnsi="Arial" w:cs="Arial"/>
                <w:sz w:val="24"/>
                <w:szCs w:val="24"/>
                <w:highlight w:val="yellow"/>
                <w:lang w:val="es-MX"/>
              </w:rPr>
            </w:pPr>
            <w:r>
              <w:rPr>
                <w:rFonts w:cs="Arial" w:ascii="Arial" w:hAnsi="Arial"/>
                <w:sz w:val="24"/>
                <w:szCs w:val="24"/>
                <w:highlight w:val="yellow"/>
                <w:lang w:val="es-MX"/>
              </w:rPr>
            </w:r>
          </w:p>
        </w:tc>
        <w:tc>
          <w:tcPr>
            <w:tcW w:w="2458" w:type="dxa"/>
            <w:tcBorders/>
          </w:tcPr>
          <w:p>
            <w:pPr>
              <w:pStyle w:val="Normal"/>
              <w:spacing w:lineRule="auto" w:line="240" w:before="0" w:after="0"/>
              <w:ind w:left="35" w:hanging="0"/>
              <w:jc w:val="both"/>
              <w:rPr>
                <w:rFonts w:ascii="Arial" w:hAnsi="Arial" w:eastAsia="Times New Roman" w:cs="Arial"/>
                <w:bCs/>
                <w:sz w:val="24"/>
                <w:szCs w:val="24"/>
                <w:lang w:eastAsia="es-CL"/>
              </w:rPr>
            </w:pPr>
            <w:r>
              <w:rPr>
                <w:rFonts w:eastAsia="Times New Roman" w:cs="Arial" w:ascii="Arial" w:hAnsi="Arial"/>
                <w:bCs/>
                <w:sz w:val="24"/>
                <w:szCs w:val="24"/>
                <w:lang w:eastAsia="es-CL"/>
              </w:rPr>
              <w:t>Se  evidenció     que     la      Resolución     C.P. AGU. Res. N° 6030/1 Vrs., de fecha 22 de enero de 2021, que “Dispone cargos de la Capitanía de Puerto de Puerto Aguirre año 2021” para el personal dependiente y la LSR-4425, considera a la Div. Medios a flote como parte del Departamento de Seguridad y Operaciones Marítimas pero de acuerdo a lo señalado por el Jefe del Departamento, esta División depende del Departamento Logístico y Servicios.</w:t>
            </w:r>
          </w:p>
        </w:tc>
        <w:tc>
          <w:tcPr>
            <w:tcW w:w="2401" w:type="dxa"/>
            <w:tcBorders/>
          </w:tcPr>
          <w:p>
            <w:pPr>
              <w:pStyle w:val="ListParagraph"/>
              <w:numPr>
                <w:ilvl w:val="0"/>
                <w:numId w:val="2"/>
              </w:numPr>
              <w:spacing w:lineRule="auto" w:line="240" w:before="0" w:after="0"/>
              <w:ind w:left="460" w:hanging="425"/>
              <w:contextualSpacing/>
              <w:jc w:val="both"/>
              <w:rPr>
                <w:rFonts w:ascii="Arial" w:hAnsi="Arial" w:cs="Arial"/>
                <w:sz w:val="24"/>
                <w:szCs w:val="24"/>
                <w:lang w:val="es-MX"/>
              </w:rPr>
            </w:pPr>
            <w:r>
              <w:rPr>
                <w:rFonts w:cs="Arial" w:ascii="Arial" w:hAnsi="Arial"/>
                <w:sz w:val="24"/>
                <w:szCs w:val="24"/>
                <w:lang w:val="es-MX"/>
              </w:rPr>
              <w:t xml:space="preserve">Resol. N° 6560/1, de fecha 26 de enero de 2011, Manual de Organización y Funcionamiento de las Gobernaciones Marítimas y Capitanías de Puerto. </w:t>
            </w:r>
          </w:p>
          <w:p>
            <w:pPr>
              <w:pStyle w:val="Normal"/>
              <w:spacing w:lineRule="auto" w:line="240" w:before="0" w:after="0"/>
              <w:rPr>
                <w:rFonts w:ascii="Arial" w:hAnsi="Arial" w:cs="Arial"/>
                <w:b/>
                <w:b/>
                <w:sz w:val="24"/>
                <w:szCs w:val="24"/>
              </w:rPr>
            </w:pPr>
            <w:r>
              <w:rPr>
                <w:rFonts w:cs="Arial" w:ascii="Arial" w:hAnsi="Arial"/>
                <w:b/>
                <w:sz w:val="24"/>
                <w:szCs w:val="24"/>
              </w:rPr>
            </w:r>
          </w:p>
        </w:tc>
        <w:tc>
          <w:tcPr>
            <w:tcW w:w="3486" w:type="dxa"/>
            <w:tcBorders/>
          </w:tcPr>
          <w:p>
            <w:pPr>
              <w:pStyle w:val="ListParagraph"/>
              <w:numPr>
                <w:ilvl w:val="0"/>
                <w:numId w:val="3"/>
              </w:numPr>
              <w:spacing w:lineRule="auto" w:line="240" w:before="0" w:after="0"/>
              <w:ind w:left="458" w:hanging="426"/>
              <w:contextualSpacing/>
              <w:jc w:val="both"/>
              <w:rPr>
                <w:rFonts w:ascii="Arial" w:hAnsi="Arial" w:cs="Arial"/>
                <w:sz w:val="24"/>
                <w:szCs w:val="24"/>
                <w:lang w:val="es-MX"/>
              </w:rPr>
            </w:pPr>
            <w:r>
              <w:rPr>
                <w:rFonts w:cs="Arial" w:ascii="Arial" w:hAnsi="Arial"/>
                <w:sz w:val="24"/>
                <w:szCs w:val="24"/>
                <w:lang w:val="es-MX"/>
              </w:rPr>
              <w:t>Dar cumplimiento a lo señalado en el artículo 901 del Manual de Organización y Funcionamiento de las Gobernaciones Marítimas y Capitanías de Puerto.</w:t>
            </w:r>
          </w:p>
          <w:p>
            <w:pPr>
              <w:pStyle w:val="ListParagraph"/>
              <w:numPr>
                <w:ilvl w:val="0"/>
                <w:numId w:val="3"/>
              </w:numPr>
              <w:spacing w:lineRule="auto" w:line="240" w:before="0" w:after="0"/>
              <w:ind w:left="458" w:hanging="426"/>
              <w:contextualSpacing/>
              <w:jc w:val="both"/>
              <w:rPr>
                <w:rFonts w:ascii="Arial" w:hAnsi="Arial" w:cs="Arial"/>
                <w:sz w:val="24"/>
                <w:szCs w:val="24"/>
              </w:rPr>
            </w:pPr>
            <w:r>
              <w:rPr>
                <w:rFonts w:cs="Arial" w:ascii="Arial" w:hAnsi="Arial"/>
                <w:sz w:val="24"/>
                <w:szCs w:val="24"/>
                <w:lang w:val="es-MX"/>
              </w:rPr>
              <w:t>Informar número y fecha de nueva resolución de asignación de cargos que considere al personal de dotación de la Capitanía de Puerto de acuerdo a la implicancia normativa aludida.</w:t>
            </w:r>
          </w:p>
        </w:tc>
        <w:tc>
          <w:tcPr>
            <w:tcW w:w="3893"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Se modificó Resolución C.P. AGU. Res. N° 6030/08 Vrs., de fecha 1 de julio de 2021, la cual dispone cargos de la Capitanía de Puerto de Puerto Aguirre para el año 2021. Modificando cambio de personal a  la División de Medios a Flote, de acuerdo al </w:t>
            </w:r>
            <w:r>
              <w:rPr>
                <w:rFonts w:cs="Arial" w:ascii="Arial" w:hAnsi="Arial"/>
                <w:sz w:val="24"/>
                <w:szCs w:val="24"/>
                <w:lang w:val="es-MX"/>
              </w:rPr>
              <w:t>art. 901°, del Manual de Organización y Funcionamiento de las Gobernaciones Marítimas y Capitanías de Puerto.</w:t>
            </w:r>
            <w:r>
              <w:rPr>
                <w:rFonts w:cs="Arial" w:ascii="Arial" w:hAnsi="Arial"/>
                <w:sz w:val="24"/>
                <w:szCs w:val="24"/>
              </w:rPr>
              <w:t xml:space="preserve"> </w:t>
            </w:r>
          </w:p>
        </w:tc>
        <w:tc>
          <w:tcPr>
            <w:tcW w:w="2552"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220"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677" w:type="dxa"/>
        <w:jc w:val="center"/>
        <w:tblInd w:w="0" w:type="dxa"/>
        <w:tblCellMar>
          <w:top w:w="0" w:type="dxa"/>
          <w:left w:w="108" w:type="dxa"/>
          <w:bottom w:w="0" w:type="dxa"/>
          <w:right w:w="108" w:type="dxa"/>
        </w:tblCellMar>
        <w:tblLook w:firstRow="1" w:noVBand="1" w:lastRow="0" w:firstColumn="1" w:lastColumn="0" w:noHBand="0" w:val="04a0"/>
      </w:tblPr>
      <w:tblGrid>
        <w:gridCol w:w="613"/>
        <w:gridCol w:w="2411"/>
        <w:gridCol w:w="2692"/>
        <w:gridCol w:w="3260"/>
        <w:gridCol w:w="3970"/>
        <w:gridCol w:w="2463"/>
        <w:gridCol w:w="2267"/>
      </w:tblGrid>
      <w:tr>
        <w:trPr>
          <w:tblHeader w:val="true"/>
        </w:trPr>
        <w:tc>
          <w:tcPr>
            <w:tcW w:w="613"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26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7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6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 INSPECCIONADO</w:t>
            </w:r>
          </w:p>
        </w:tc>
        <w:tc>
          <w:tcPr>
            <w:tcW w:w="226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13"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b)</w:t>
            </w:r>
          </w:p>
        </w:tc>
        <w:tc>
          <w:tcPr>
            <w:tcW w:w="2411"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el M1 L. L GONZALEZ P. integrante del Departamento no tiene cargos de responsabilidad asignados, desempeñándose como ayudante del encargado en tres Divisiones.</w:t>
            </w:r>
          </w:p>
        </w:tc>
        <w:tc>
          <w:tcPr>
            <w:tcW w:w="2692" w:type="dxa"/>
            <w:tcBorders/>
          </w:tcPr>
          <w:p>
            <w:pPr>
              <w:pStyle w:val="Normal"/>
              <w:spacing w:lineRule="auto" w:line="240" w:before="0" w:after="0"/>
              <w:jc w:val="both"/>
              <w:rPr>
                <w:rFonts w:ascii="Arial" w:hAnsi="Arial" w:cs="Arial"/>
                <w:sz w:val="24"/>
                <w:szCs w:val="24"/>
              </w:rPr>
            </w:pPr>
            <w:r>
              <w:rPr>
                <w:rFonts w:cs="Arial" w:ascii="Arial" w:hAnsi="Arial"/>
                <w:sz w:val="24"/>
                <w:szCs w:val="24"/>
              </w:rPr>
              <w:t>Resol. N° 6560/1, de fecha 26 de enero de 2011, Manual de Organización y Funcionamiento de las Gobernaciones Marítimas y Capitanías de Puerto.</w:t>
            </w:r>
          </w:p>
        </w:tc>
        <w:tc>
          <w:tcPr>
            <w:tcW w:w="3260" w:type="dxa"/>
            <w:tcBorders/>
          </w:tcPr>
          <w:p>
            <w:pPr>
              <w:pStyle w:val="Normal"/>
              <w:spacing w:lineRule="auto" w:line="240" w:before="0" w:after="0"/>
              <w:jc w:val="both"/>
              <w:rPr>
                <w:rFonts w:ascii="Arial" w:hAnsi="Arial" w:cs="Arial"/>
                <w:sz w:val="24"/>
                <w:szCs w:val="24"/>
              </w:rPr>
            </w:pPr>
            <w:r>
              <w:rPr>
                <w:rFonts w:cs="Arial" w:ascii="Arial" w:hAnsi="Arial"/>
                <w:sz w:val="24"/>
                <w:szCs w:val="24"/>
                <w:lang w:val="es-MX"/>
              </w:rPr>
              <w:t>Dar cumplimiento a los arts. 902° y 903° del Manual de Organización y Funcionamiento de Gobernaciones Marítimas y Capitanías de Puerto.</w:t>
            </w:r>
          </w:p>
        </w:tc>
        <w:tc>
          <w:tcPr>
            <w:tcW w:w="3970" w:type="dxa"/>
            <w:tcBorders/>
            <w:vAlign w:val="center"/>
          </w:tcPr>
          <w:p>
            <w:pPr>
              <w:pStyle w:val="Normal"/>
              <w:spacing w:lineRule="auto" w:line="240" w:before="0" w:after="0"/>
              <w:jc w:val="both"/>
              <w:rPr>
                <w:rFonts w:ascii="Arial" w:hAnsi="Arial" w:cs="Arial"/>
                <w:sz w:val="24"/>
                <w:szCs w:val="24"/>
              </w:rPr>
            </w:pPr>
            <w:r>
              <w:rPr>
                <w:rFonts w:cs="Arial" w:ascii="Arial" w:hAnsi="Arial"/>
                <w:sz w:val="24"/>
                <w:szCs w:val="24"/>
              </w:rPr>
              <w:t xml:space="preserve">De acuerdo a la resolución C.P. AGU. Res. N° 6030/08 Vrs., de fecha 1 de julio de 2021, la cual dispone cargos de la Capitanía de Puerto de Puerto Aguirre. Se designa al  M1 L. Leonardo GONZALEZ Polo, como encargado de la División de Medios a Flote y División de Policía Marítima. </w:t>
            </w:r>
          </w:p>
        </w:tc>
        <w:tc>
          <w:tcPr>
            <w:tcW w:w="2463"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267"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r>
        <w:trPr>
          <w:tblHeader w:val="true"/>
        </w:trPr>
        <w:tc>
          <w:tcPr>
            <w:tcW w:w="613"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c)</w:t>
            </w:r>
          </w:p>
        </w:tc>
        <w:tc>
          <w:tcPr>
            <w:tcW w:w="2411"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val="es-MX" w:eastAsia="es-CL"/>
              </w:rPr>
              <w:t>S</w:t>
            </w:r>
            <w:r>
              <w:rPr>
                <w:rFonts w:cs="Arial" w:ascii="Arial" w:hAnsi="Arial"/>
                <w:sz w:val="24"/>
                <w:szCs w:val="24"/>
                <w:lang w:eastAsia="es-CL"/>
              </w:rPr>
              <w:t>e evidenció que a pesar de contar con una O.P.I.,  que regula las funciones del encargado administrativo del Departamento, este no se encuentra designado oficialmente evidenciándose además, falta de control de la documentación transmitida y recibida.</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692" w:type="dxa"/>
            <w:tcBorders/>
          </w:tcPr>
          <w:p>
            <w:pPr>
              <w:pStyle w:val="ListParagraph"/>
              <w:numPr>
                <w:ilvl w:val="0"/>
                <w:numId w:val="6"/>
              </w:numPr>
              <w:spacing w:lineRule="auto" w:line="240" w:before="0" w:after="0"/>
              <w:ind w:left="461" w:hanging="425"/>
              <w:contextualSpacing/>
              <w:jc w:val="both"/>
              <w:rPr>
                <w:rFonts w:ascii="Arial" w:hAnsi="Arial" w:cs="Arial"/>
                <w:sz w:val="24"/>
                <w:szCs w:val="24"/>
                <w:lang w:val="es-MX"/>
              </w:rPr>
            </w:pPr>
            <w:r>
              <w:rPr>
                <w:rFonts w:cs="Arial" w:ascii="Arial" w:hAnsi="Arial"/>
                <w:sz w:val="24"/>
                <w:szCs w:val="24"/>
                <w:lang w:val="es-MX"/>
              </w:rPr>
              <w:t>Resol. N° 6560/1, de fecha 26 de enero de 2011, Manual de Organización y Funcionamiento de las Gobernaciones Marítimas y Capitanías de Puerto.</w:t>
            </w:r>
          </w:p>
          <w:p>
            <w:pPr>
              <w:pStyle w:val="ListParagraph"/>
              <w:numPr>
                <w:ilvl w:val="0"/>
                <w:numId w:val="6"/>
              </w:numPr>
              <w:spacing w:lineRule="auto" w:line="240" w:before="0" w:after="0"/>
              <w:ind w:left="461" w:hanging="425"/>
              <w:contextualSpacing/>
              <w:jc w:val="both"/>
              <w:rPr>
                <w:rFonts w:ascii="Arial" w:hAnsi="Arial" w:cs="Arial"/>
                <w:sz w:val="24"/>
                <w:szCs w:val="24"/>
                <w:lang w:val="es-MX"/>
              </w:rPr>
            </w:pPr>
            <w:r>
              <w:rPr>
                <w:rFonts w:cs="Arial" w:ascii="Arial" w:hAnsi="Arial"/>
                <w:sz w:val="24"/>
                <w:szCs w:val="24"/>
                <w:lang w:val="es-MX"/>
              </w:rPr>
              <w:t>Formulario Revista de Inspección Depto. de Seguridad y Operaciones Marítimas, Jefatura del Departamento, letra C.</w:t>
            </w:r>
          </w:p>
        </w:tc>
        <w:tc>
          <w:tcPr>
            <w:tcW w:w="3260" w:type="dxa"/>
            <w:tcBorders/>
          </w:tcPr>
          <w:p>
            <w:pPr>
              <w:pStyle w:val="ListParagraph"/>
              <w:numPr>
                <w:ilvl w:val="0"/>
                <w:numId w:val="7"/>
              </w:numPr>
              <w:spacing w:lineRule="auto" w:line="240" w:before="0" w:after="0"/>
              <w:contextualSpacing/>
              <w:jc w:val="both"/>
              <w:rPr>
                <w:rFonts w:ascii="Arial" w:hAnsi="Arial" w:cs="Arial"/>
                <w:sz w:val="24"/>
                <w:szCs w:val="24"/>
                <w:lang w:val="es-MX"/>
              </w:rPr>
            </w:pPr>
            <w:r>
              <w:rPr>
                <w:rFonts w:cs="Arial" w:ascii="Arial" w:hAnsi="Arial"/>
                <w:sz w:val="24"/>
                <w:szCs w:val="24"/>
              </w:rPr>
              <w:t>Informar número y fecha de                                                                                                                                                                                        Resolución que designa encargado administrativo del Departamento de Operaciones.</w:t>
            </w:r>
          </w:p>
          <w:p>
            <w:pPr>
              <w:pStyle w:val="ListParagraph"/>
              <w:numPr>
                <w:ilvl w:val="0"/>
                <w:numId w:val="7"/>
              </w:numPr>
              <w:spacing w:lineRule="auto" w:line="240" w:before="0" w:after="0"/>
              <w:contextualSpacing/>
              <w:jc w:val="both"/>
              <w:rPr>
                <w:rFonts w:ascii="Arial" w:hAnsi="Arial" w:cs="Arial"/>
                <w:sz w:val="24"/>
                <w:szCs w:val="24"/>
                <w:lang w:val="es-MX"/>
              </w:rPr>
            </w:pPr>
            <w:r>
              <w:rPr>
                <w:rFonts w:cs="Arial" w:ascii="Arial" w:hAnsi="Arial"/>
                <w:sz w:val="24"/>
                <w:szCs w:val="24"/>
              </w:rPr>
              <w:t xml:space="preserve">Adoptar las medidas pertinentes para que el citado encargado adquiera la competencia para desempeñarse en su cargo. </w:t>
            </w:r>
          </w:p>
        </w:tc>
        <w:tc>
          <w:tcPr>
            <w:tcW w:w="3970"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De acuerdo a la resolución C.P. AGU. Res. 6030/09, de fecha 1 de julio de 2021, se dispone cargos colaterales de la Capitanía de Puerto de Puerto Aguirre y la cual se designa al M1 L. L. GONZALEZ P., como encargado administrativo del </w:t>
            </w:r>
            <w:r>
              <w:rPr>
                <w:rFonts w:cs="Arial" w:ascii="Arial" w:hAnsi="Arial"/>
                <w:sz w:val="24"/>
                <w:szCs w:val="24"/>
                <w:lang w:val="es-MX"/>
              </w:rPr>
              <w:t>Departamento  de Seguridad y Operaciones Marítimas</w:t>
            </w:r>
            <w:r>
              <w:rPr>
                <w:rFonts w:cs="Arial" w:ascii="Arial" w:hAnsi="Arial"/>
                <w:sz w:val="24"/>
                <w:szCs w:val="24"/>
              </w:rPr>
              <w:t>, efectuándose instrucciones relevantes del encargado, para   desempeñarse en el cargo asignado.</w:t>
            </w:r>
          </w:p>
        </w:tc>
        <w:tc>
          <w:tcPr>
            <w:tcW w:w="246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c>
          <w:tcPr>
            <w:tcW w:w="2267"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783" w:type="dxa"/>
        <w:jc w:val="center"/>
        <w:tblInd w:w="0" w:type="dxa"/>
        <w:tblCellMar>
          <w:top w:w="0" w:type="dxa"/>
          <w:left w:w="108" w:type="dxa"/>
          <w:bottom w:w="0" w:type="dxa"/>
          <w:right w:w="108" w:type="dxa"/>
        </w:tblCellMar>
        <w:tblLook w:firstRow="1" w:noVBand="1" w:lastRow="0" w:firstColumn="1" w:lastColumn="0" w:noHBand="0" w:val="04a0"/>
      </w:tblPr>
      <w:tblGrid>
        <w:gridCol w:w="608"/>
        <w:gridCol w:w="2468"/>
        <w:gridCol w:w="2694"/>
        <w:gridCol w:w="3260"/>
        <w:gridCol w:w="3827"/>
        <w:gridCol w:w="2551"/>
        <w:gridCol w:w="2374"/>
      </w:tblGrid>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6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26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82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551"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37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08"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d)</w:t>
            </w:r>
          </w:p>
        </w:tc>
        <w:tc>
          <w:tcPr>
            <w:tcW w:w="2468"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val="es-MX" w:eastAsia="es-CL"/>
              </w:rPr>
              <w:t>S</w:t>
            </w:r>
            <w:r>
              <w:rPr>
                <w:rFonts w:cs="Arial" w:ascii="Arial" w:hAnsi="Arial"/>
                <w:sz w:val="24"/>
                <w:szCs w:val="24"/>
                <w:lang w:eastAsia="es-CL"/>
              </w:rPr>
              <w:t>e evidenció que el palo de señales empleado para comunicar mediante señalas visuales las condiciones de tiempo y el cierre del puerto durante la activación del “Plan de Mal Tiempo”, se encuentra inoperativo tanto para las señales diurnas como las nocturnas. (Sin drizas para señales diurnas y ampolletas quemadas para señales nocturnas).</w:t>
            </w:r>
          </w:p>
        </w:tc>
        <w:tc>
          <w:tcPr>
            <w:tcW w:w="2694" w:type="dxa"/>
            <w:tcBorders/>
          </w:tcPr>
          <w:p>
            <w:pPr>
              <w:pStyle w:val="ListParagraph"/>
              <w:numPr>
                <w:ilvl w:val="0"/>
                <w:numId w:val="8"/>
              </w:numPr>
              <w:spacing w:lineRule="auto" w:line="240" w:before="0" w:after="0"/>
              <w:ind w:left="460" w:hanging="425"/>
              <w:contextualSpacing/>
              <w:jc w:val="both"/>
              <w:rPr>
                <w:rFonts w:ascii="Arial" w:hAnsi="Arial" w:cs="Arial"/>
                <w:sz w:val="24"/>
                <w:szCs w:val="24"/>
              </w:rPr>
            </w:pPr>
            <w:r>
              <w:rPr>
                <w:rFonts w:cs="Arial" w:ascii="Arial" w:hAnsi="Arial"/>
                <w:sz w:val="24"/>
                <w:szCs w:val="24"/>
              </w:rPr>
              <w:t>R</w:t>
            </w:r>
            <w:r>
              <w:rPr>
                <w:rFonts w:cs="Arial" w:ascii="Arial" w:hAnsi="Arial"/>
                <w:sz w:val="24"/>
                <w:szCs w:val="24"/>
                <w:lang w:val="es-MX"/>
              </w:rPr>
              <w:t>esol. N° 6560/1, de fecha 26 de enero de 2011, Manual de Organización y Funcionamiento de las Gobernaciones Marítimas y de las Capitanías de Puerto, letra E.</w:t>
            </w:r>
          </w:p>
          <w:p>
            <w:pPr>
              <w:pStyle w:val="ListParagraph"/>
              <w:numPr>
                <w:ilvl w:val="0"/>
                <w:numId w:val="8"/>
              </w:numPr>
              <w:spacing w:lineRule="auto" w:line="240" w:before="0" w:after="0"/>
              <w:ind w:left="460" w:hanging="425"/>
              <w:contextualSpacing/>
              <w:jc w:val="both"/>
              <w:rPr>
                <w:rFonts w:ascii="Arial" w:hAnsi="Arial" w:cs="Arial"/>
                <w:sz w:val="24"/>
                <w:szCs w:val="24"/>
              </w:rPr>
            </w:pPr>
            <w:r>
              <w:rPr>
                <w:rFonts w:cs="Arial" w:ascii="Arial" w:hAnsi="Arial"/>
                <w:sz w:val="24"/>
                <w:szCs w:val="24"/>
              </w:rPr>
              <w:t>Directiva O-31/019, de fecha 09 de abril de 2014.</w:t>
            </w:r>
          </w:p>
        </w:tc>
        <w:tc>
          <w:tcPr>
            <w:tcW w:w="3260" w:type="dxa"/>
            <w:tcBorders/>
          </w:tcPr>
          <w:p>
            <w:pPr>
              <w:pStyle w:val="ListParagraph"/>
              <w:spacing w:lineRule="auto" w:line="240" w:before="0" w:after="0"/>
              <w:ind w:left="32" w:hanging="0"/>
              <w:contextualSpacing/>
              <w:jc w:val="both"/>
              <w:rPr>
                <w:rFonts w:ascii="Arial" w:hAnsi="Arial" w:cs="Arial"/>
                <w:sz w:val="24"/>
                <w:szCs w:val="24"/>
              </w:rPr>
            </w:pPr>
            <w:r>
              <w:rPr>
                <w:rFonts w:cs="Arial" w:ascii="Arial" w:hAnsi="Arial"/>
                <w:sz w:val="24"/>
                <w:szCs w:val="24"/>
              </w:rPr>
              <w:t>Efectuar reparación al palo    de señales y si es necesario, coordinar informe técnico para solicitar su recambio por vetustez. En caso contrario, adoptar las medidas necesarias para que el citado material no ocasione daños al personal propio ni a usuarios marítimos.</w:t>
            </w:r>
          </w:p>
        </w:tc>
        <w:tc>
          <w:tcPr>
            <w:tcW w:w="3827" w:type="dxa"/>
            <w:tcBorders/>
          </w:tcPr>
          <w:p>
            <w:pPr>
              <w:pStyle w:val="Normal"/>
              <w:spacing w:lineRule="auto" w:line="240" w:before="0" w:after="0"/>
              <w:jc w:val="both"/>
              <w:rPr>
                <w:rFonts w:ascii="Arial" w:hAnsi="Arial" w:cs="Arial"/>
                <w:sz w:val="24"/>
                <w:szCs w:val="24"/>
              </w:rPr>
            </w:pPr>
            <w:r>
              <w:rPr>
                <w:rFonts w:cs="Arial" w:ascii="Arial" w:hAnsi="Arial"/>
                <w:sz w:val="24"/>
                <w:szCs w:val="24"/>
              </w:rPr>
              <w:t>En el mes de julio 2021, se efectuó abatimiento mástil de señales visuales para mal tiempo, con el propósito de efectuar mantenimiento y recableado eléctrico, luces, micas y cambio tensores.</w:t>
            </w:r>
          </w:p>
          <w:p>
            <w:pPr>
              <w:pStyle w:val="Normal"/>
              <w:spacing w:lineRule="auto" w:line="240" w:before="0" w:after="0"/>
              <w:jc w:val="both"/>
              <w:rPr>
                <w:rFonts w:ascii="Arial" w:hAnsi="Arial" w:cs="Arial"/>
                <w:sz w:val="24"/>
                <w:szCs w:val="24"/>
              </w:rPr>
            </w:pPr>
            <w:r>
              <w:rPr>
                <w:rFonts w:cs="Arial" w:ascii="Arial" w:hAnsi="Arial"/>
                <w:sz w:val="24"/>
                <w:szCs w:val="24"/>
              </w:rPr>
              <w:t>Trabajos a realizar serán efectuados por personal esta Capitanía de Puerto.</w:t>
            </w:r>
          </w:p>
        </w:tc>
        <w:tc>
          <w:tcPr>
            <w:tcW w:w="255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PENDIENTE</w:t>
            </w:r>
          </w:p>
          <w:p>
            <w:pPr>
              <w:pStyle w:val="Normal"/>
              <w:spacing w:lineRule="auto" w:line="240" w:before="0" w:after="0"/>
              <w:jc w:val="both"/>
              <w:rPr>
                <w:rFonts w:ascii="Arial" w:hAnsi="Arial" w:cs="Arial"/>
                <w:sz w:val="24"/>
                <w:szCs w:val="24"/>
                <w:highlight w:val="yellow"/>
                <w:lang w:val="es-MX"/>
              </w:rPr>
            </w:pPr>
            <w:r>
              <w:rPr>
                <w:rFonts w:cs="Arial" w:ascii="Arial" w:hAnsi="Arial"/>
                <w:sz w:val="24"/>
                <w:szCs w:val="24"/>
                <w:lang w:val="es-MX"/>
              </w:rPr>
              <w:t>Informar cuando se encuentre operativo</w:t>
            </w:r>
          </w:p>
        </w:tc>
        <w:tc>
          <w:tcPr>
            <w:tcW w:w="2374" w:type="dxa"/>
            <w:tcBorders/>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Mástil de señales operativo, conforme al mantenimiento efectuado en el mes de julio.</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b/>
                <w:b/>
                <w:sz w:val="24"/>
                <w:szCs w:val="24"/>
                <w:lang w:val="es-MX"/>
              </w:rPr>
            </w:pPr>
            <w:r>
              <w:rPr>
                <w:rFonts w:cs="Arial" w:ascii="Arial" w:hAnsi="Arial"/>
                <w:sz w:val="24"/>
                <w:szCs w:val="24"/>
                <w:lang w:val="es-MX"/>
              </w:rPr>
              <w:t>Se adjunta set fotográfico en Anexo “E”</w:t>
            </w:r>
            <w:r>
              <w:rPr>
                <w:rFonts w:cs="Arial" w:ascii="Arial" w:hAnsi="Arial"/>
                <w:b/>
                <w:sz w:val="24"/>
                <w:szCs w:val="24"/>
                <w:lang w:val="es-MX"/>
              </w:rPr>
              <w:t>.</w:t>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888" w:type="dxa"/>
        <w:jc w:val="center"/>
        <w:tblInd w:w="0" w:type="dxa"/>
        <w:tblCellMar>
          <w:top w:w="0" w:type="dxa"/>
          <w:left w:w="108" w:type="dxa"/>
          <w:bottom w:w="0" w:type="dxa"/>
          <w:right w:w="108" w:type="dxa"/>
        </w:tblCellMar>
        <w:tblLook w:firstRow="1" w:noVBand="1" w:lastRow="0" w:firstColumn="1" w:lastColumn="0" w:noHBand="0" w:val="04a0"/>
      </w:tblPr>
      <w:tblGrid>
        <w:gridCol w:w="568"/>
        <w:gridCol w:w="2523"/>
        <w:gridCol w:w="2692"/>
        <w:gridCol w:w="3259"/>
        <w:gridCol w:w="3883"/>
        <w:gridCol w:w="2553"/>
        <w:gridCol w:w="2409"/>
      </w:tblGrid>
      <w:tr>
        <w:trPr>
          <w:tblHeader w:val="true"/>
        </w:trPr>
        <w:tc>
          <w:tcPr>
            <w:tcW w:w="56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52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25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88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55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40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478" w:type="dxa"/>
            <w:gridSpan w:val="6"/>
            <w:tcBorders/>
            <w:vAlign w:val="center"/>
          </w:tcPr>
          <w:p>
            <w:pPr>
              <w:pStyle w:val="Normal"/>
              <w:spacing w:lineRule="auto" w:line="240" w:before="0" w:after="0"/>
              <w:jc w:val="both"/>
              <w:rPr>
                <w:rFonts w:ascii="Arial" w:hAnsi="Arial" w:cs="Arial"/>
                <w:b/>
                <w:b/>
                <w:sz w:val="16"/>
                <w:szCs w:val="16"/>
                <w:highlight w:val="yellow"/>
                <w:lang w:val="es-MX"/>
              </w:rPr>
            </w:pPr>
            <w:r>
              <w:rPr>
                <w:rFonts w:cs="Arial" w:ascii="Arial" w:hAnsi="Arial"/>
                <w:b/>
                <w:sz w:val="16"/>
                <w:szCs w:val="16"/>
                <w:highlight w:val="yellow"/>
                <w:lang w:val="es-MX"/>
              </w:rPr>
            </w:r>
          </w:p>
          <w:p>
            <w:pPr>
              <w:pStyle w:val="Normal"/>
              <w:spacing w:lineRule="auto" w:line="240" w:before="0" w:after="0"/>
              <w:jc w:val="both"/>
              <w:rPr>
                <w:rFonts w:ascii="Arial" w:hAnsi="Arial" w:cs="Arial"/>
                <w:b/>
                <w:b/>
                <w:sz w:val="16"/>
                <w:szCs w:val="16"/>
                <w:highlight w:val="yellow"/>
                <w:lang w:val="es-MX"/>
              </w:rPr>
            </w:pPr>
            <w:r>
              <w:rPr>
                <w:rFonts w:eastAsia="Times New Roman" w:cs="Arial" w:ascii="Arial" w:hAnsi="Arial"/>
                <w:b/>
                <w:bCs/>
                <w:sz w:val="24"/>
                <w:szCs w:val="24"/>
                <w:lang w:eastAsia="es-CL"/>
              </w:rPr>
              <w:t xml:space="preserve">División </w:t>
            </w:r>
            <w:r>
              <w:rPr>
                <w:rFonts w:eastAsia="Times New Roman" w:cs="Arial" w:ascii="Arial" w:hAnsi="Arial"/>
                <w:b/>
                <w:bCs/>
                <w:color w:val="000000"/>
                <w:sz w:val="24"/>
                <w:szCs w:val="24"/>
                <w:lang w:eastAsia="es-CL"/>
              </w:rPr>
              <w:t>Medios a Flote de Patrullaje Marítimo</w:t>
            </w:r>
            <w:r>
              <w:rPr>
                <w:rFonts w:eastAsia="Times New Roman" w:cs="Arial" w:ascii="Arial" w:hAnsi="Arial"/>
                <w:b/>
                <w:bCs/>
                <w:sz w:val="24"/>
                <w:szCs w:val="24"/>
                <w:lang w:eastAsia="es-CL"/>
              </w:rPr>
              <w:t>.</w:t>
            </w:r>
          </w:p>
        </w:tc>
        <w:tc>
          <w:tcPr>
            <w:tcW w:w="2409" w:type="dxa"/>
            <w:tcBorders/>
          </w:tcPr>
          <w:p>
            <w:pPr>
              <w:pStyle w:val="Normal"/>
              <w:spacing w:lineRule="auto" w:line="240" w:before="0" w:after="0"/>
              <w:jc w:val="both"/>
              <w:rPr>
                <w:rFonts w:ascii="Arial" w:hAnsi="Arial" w:cs="Arial"/>
                <w:b/>
                <w:b/>
                <w:sz w:val="16"/>
                <w:szCs w:val="16"/>
                <w:highlight w:val="yellow"/>
                <w:lang w:val="es-MX"/>
              </w:rPr>
            </w:pPr>
            <w:r>
              <w:rPr>
                <w:rFonts w:cs="Arial" w:ascii="Arial" w:hAnsi="Arial"/>
                <w:b/>
                <w:sz w:val="16"/>
                <w:szCs w:val="16"/>
                <w:highlight w:val="yellow"/>
                <w:lang w:val="es-MX"/>
              </w:rPr>
            </w:r>
          </w:p>
        </w:tc>
      </w:tr>
      <w:tr>
        <w:trPr>
          <w:tblHeader w:val="true"/>
        </w:trPr>
        <w:tc>
          <w:tcPr>
            <w:tcW w:w="568"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p>
            <w:pPr>
              <w:pStyle w:val="Normal"/>
              <w:spacing w:lineRule="auto" w:line="240" w:before="0" w:after="0"/>
              <w:jc w:val="center"/>
              <w:rPr>
                <w:rFonts w:ascii="Arial" w:hAnsi="Arial" w:cs="Arial"/>
                <w:sz w:val="24"/>
                <w:szCs w:val="24"/>
                <w:highlight w:val="yellow"/>
                <w:lang w:val="es-MX"/>
              </w:rPr>
            </w:pPr>
            <w:r>
              <w:rPr>
                <w:rFonts w:cs="Arial" w:ascii="Arial" w:hAnsi="Arial"/>
                <w:sz w:val="24"/>
                <w:szCs w:val="24"/>
                <w:highlight w:val="yellow"/>
                <w:lang w:val="es-MX"/>
              </w:rPr>
            </w:r>
          </w:p>
          <w:p>
            <w:pPr>
              <w:pStyle w:val="Normal"/>
              <w:spacing w:lineRule="auto" w:line="240" w:before="0" w:after="0"/>
              <w:jc w:val="center"/>
              <w:rPr>
                <w:rFonts w:ascii="Arial" w:hAnsi="Arial" w:cs="Arial"/>
                <w:sz w:val="24"/>
                <w:szCs w:val="24"/>
                <w:highlight w:val="yellow"/>
                <w:lang w:val="es-MX"/>
              </w:rPr>
            </w:pPr>
            <w:r>
              <w:rPr>
                <w:rFonts w:cs="Arial" w:ascii="Arial" w:hAnsi="Arial"/>
                <w:sz w:val="24"/>
                <w:szCs w:val="24"/>
                <w:highlight w:val="yellow"/>
                <w:lang w:val="es-MX"/>
              </w:rPr>
            </w:r>
          </w:p>
        </w:tc>
        <w:tc>
          <w:tcPr>
            <w:tcW w:w="2523"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la planificación de la operación de la LSR-4425 es efectuada por el Patrón de la embarcación y no por el Capitán de Puerto a través del Departamento de Operaciones.</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692" w:type="dxa"/>
            <w:tcBorders/>
          </w:tcPr>
          <w:p>
            <w:pPr>
              <w:pStyle w:val="Normal"/>
              <w:spacing w:lineRule="auto" w:line="240" w:before="0" w:after="0"/>
              <w:jc w:val="both"/>
              <w:rPr>
                <w:rFonts w:ascii="Arial" w:hAnsi="Arial" w:cs="Arial"/>
                <w:sz w:val="24"/>
                <w:szCs w:val="24"/>
              </w:rPr>
            </w:pPr>
            <w:r>
              <w:rPr>
                <w:rFonts w:cs="Arial" w:ascii="Arial" w:hAnsi="Arial"/>
                <w:sz w:val="24"/>
                <w:szCs w:val="24"/>
              </w:rPr>
              <w:t>Resol. N° 6560/1, de fecha 26 de enero de 2011, Manual de Organización y Funcionamiento de Gobernaciones Marítimas y Capitanías de Puerto, arts. 1010° letra J, 1011° y 1014° letra A.</w:t>
            </w:r>
          </w:p>
        </w:tc>
        <w:tc>
          <w:tcPr>
            <w:tcW w:w="3259" w:type="dxa"/>
            <w:tcBorders/>
          </w:tcPr>
          <w:p>
            <w:pPr>
              <w:pStyle w:val="ListParagraph"/>
              <w:numPr>
                <w:ilvl w:val="0"/>
                <w:numId w:val="9"/>
              </w:numPr>
              <w:spacing w:lineRule="auto" w:line="240" w:before="0" w:after="0"/>
              <w:contextualSpacing/>
              <w:rPr>
                <w:rFonts w:ascii="Arial" w:hAnsi="Arial" w:cs="Arial"/>
                <w:sz w:val="24"/>
                <w:szCs w:val="24"/>
              </w:rPr>
            </w:pPr>
            <w:r>
              <w:rPr>
                <w:rFonts w:cs="Arial" w:ascii="Arial" w:hAnsi="Arial"/>
                <w:sz w:val="24"/>
                <w:szCs w:val="24"/>
                <w:lang w:eastAsia="es-CL"/>
              </w:rPr>
              <w:t>El Departamento de Operaciones, a través de la División Medios a Flote de Patrullaje Marítimo, debe efectuar la planificación diaria, semanal, mensual y anual de operación de la embarcación asignada, de acuerdo a la realidad jurisdiccional y para el cumplimiento de las metas dispuestas para la Capitanía de Puerto.</w:t>
            </w:r>
          </w:p>
          <w:p>
            <w:pPr>
              <w:pStyle w:val="ListParagraph"/>
              <w:numPr>
                <w:ilvl w:val="0"/>
                <w:numId w:val="9"/>
              </w:numPr>
              <w:spacing w:lineRule="auto" w:line="240" w:before="0" w:after="0"/>
              <w:contextualSpacing/>
              <w:rPr>
                <w:rFonts w:ascii="Arial" w:hAnsi="Arial" w:cs="Arial"/>
                <w:sz w:val="24"/>
                <w:szCs w:val="24"/>
              </w:rPr>
            </w:pPr>
            <w:r>
              <w:rPr>
                <w:rFonts w:cs="Arial" w:ascii="Arial" w:hAnsi="Arial"/>
                <w:sz w:val="24"/>
                <w:szCs w:val="24"/>
              </w:rPr>
              <w:t>Informar motivos de la no participación del Departamento de Operaciones en la planificación de la unidad.</w:t>
            </w:r>
          </w:p>
        </w:tc>
        <w:tc>
          <w:tcPr>
            <w:tcW w:w="3883" w:type="dxa"/>
            <w:tcBorders/>
          </w:tcPr>
          <w:p>
            <w:pPr>
              <w:pStyle w:val="Normal"/>
              <w:spacing w:lineRule="auto" w:line="240" w:before="0" w:after="0"/>
              <w:jc w:val="both"/>
              <w:rPr>
                <w:rFonts w:ascii="Arial" w:hAnsi="Arial" w:cs="Arial"/>
                <w:sz w:val="24"/>
                <w:szCs w:val="24"/>
              </w:rPr>
            </w:pPr>
            <w:r>
              <w:rPr>
                <w:rFonts w:cs="Arial" w:ascii="Arial" w:hAnsi="Arial"/>
                <w:sz w:val="24"/>
                <w:szCs w:val="24"/>
                <w:lang w:val="es-MX"/>
              </w:rPr>
              <w:t>Se confeccionó O.P.I. 223/2021, de fecha 30 de junio de 2021, imparte instrucciones al Departamento  de Seguridad y Operaciones Marítimas</w:t>
            </w:r>
            <w:r>
              <w:rPr>
                <w:rFonts w:cs="Arial" w:ascii="Arial" w:hAnsi="Arial"/>
                <w:sz w:val="24"/>
                <w:szCs w:val="24"/>
              </w:rPr>
              <w:t>. Marítimas a través de la división medios a flote de patrullaje marítimo, efectuando planificación diaria, semanal, mensual y anual de la Unidad Marítima, siendo visada por el Sr. Capitán de Puerto.</w:t>
            </w:r>
          </w:p>
          <w:p>
            <w:pPr>
              <w:pStyle w:val="Normal"/>
              <w:spacing w:lineRule="auto" w:line="240" w:before="0" w:after="0"/>
              <w:jc w:val="both"/>
              <w:rPr>
                <w:rFonts w:ascii="Arial" w:hAnsi="Arial" w:cs="Arial"/>
                <w:sz w:val="24"/>
                <w:szCs w:val="24"/>
                <w:lang w:val="es-MX"/>
              </w:rPr>
            </w:pPr>
            <w:r>
              <w:rPr>
                <w:rFonts w:cs="Arial" w:ascii="Arial" w:hAnsi="Arial"/>
                <w:sz w:val="24"/>
                <w:szCs w:val="24"/>
              </w:rPr>
              <w:t>Debido al poco tiempo que lleva en el cargo el Jefe Operaciones, se dispuso que el patrón de la LSR Arcángel 4425, debido a su vasta experiencia en el área jurisdiccional,  planificará los patrullajes siendo estos visados por el Jefe de Operaciones y el Sr. Capitán de Puerto.</w:t>
            </w:r>
          </w:p>
        </w:tc>
        <w:tc>
          <w:tcPr>
            <w:tcW w:w="255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409"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906" w:type="dxa"/>
        <w:jc w:val="center"/>
        <w:tblInd w:w="0" w:type="dxa"/>
        <w:tblCellMar>
          <w:top w:w="0" w:type="dxa"/>
          <w:left w:w="108" w:type="dxa"/>
          <w:bottom w:w="0" w:type="dxa"/>
          <w:right w:w="108" w:type="dxa"/>
        </w:tblCellMar>
        <w:tblLook w:firstRow="1" w:noVBand="1" w:lastRow="0" w:firstColumn="1" w:lastColumn="0" w:noHBand="0" w:val="04a0"/>
      </w:tblPr>
      <w:tblGrid>
        <w:gridCol w:w="571"/>
        <w:gridCol w:w="2548"/>
        <w:gridCol w:w="2693"/>
        <w:gridCol w:w="3260"/>
        <w:gridCol w:w="3827"/>
        <w:gridCol w:w="2552"/>
        <w:gridCol w:w="2454"/>
      </w:tblGrid>
      <w:tr>
        <w:trPr>
          <w:tblHeader w:val="true"/>
        </w:trPr>
        <w:tc>
          <w:tcPr>
            <w:tcW w:w="571"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54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26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82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552"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45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571"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b)</w:t>
            </w:r>
          </w:p>
        </w:tc>
        <w:tc>
          <w:tcPr>
            <w:tcW w:w="2548"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no existe resolución del Capitán de Puerto designando a patrones calificados para operar el bote de goma “Pumar 470” asignado a la Capitanía de Puerto, figurando en la Resolución</w:t>
            </w:r>
            <w:r>
              <w:rPr>
                <w:rFonts w:eastAsia="Times New Roman" w:cs="Arial" w:ascii="Arial" w:hAnsi="Arial"/>
                <w:bCs/>
                <w:sz w:val="24"/>
                <w:szCs w:val="24"/>
                <w:lang w:eastAsia="es-CL"/>
              </w:rPr>
              <w:t xml:space="preserve"> C.P. AGU. Res. N° 6030/1 Vrs., y anexo “A”, solo el encargado del bote de goma y su ayudante.</w:t>
            </w:r>
          </w:p>
          <w:p>
            <w:pPr>
              <w:pStyle w:val="Normal"/>
              <w:spacing w:lineRule="auto" w:line="240" w:before="0" w:after="0"/>
              <w:jc w:val="both"/>
              <w:rPr>
                <w:rFonts w:ascii="Arial" w:hAnsi="Arial" w:cs="Arial"/>
                <w:b/>
                <w:b/>
                <w:sz w:val="24"/>
                <w:szCs w:val="24"/>
              </w:rPr>
            </w:pPr>
            <w:r>
              <w:rPr>
                <w:rFonts w:cs="Arial" w:ascii="Arial" w:hAnsi="Arial"/>
                <w:b/>
                <w:sz w:val="24"/>
                <w:szCs w:val="24"/>
              </w:rPr>
            </w:r>
          </w:p>
        </w:tc>
        <w:tc>
          <w:tcPr>
            <w:tcW w:w="2693" w:type="dxa"/>
            <w:tcBorders/>
          </w:tcPr>
          <w:p>
            <w:pPr>
              <w:pStyle w:val="ListParagraph"/>
              <w:numPr>
                <w:ilvl w:val="0"/>
                <w:numId w:val="10"/>
              </w:numPr>
              <w:spacing w:lineRule="auto" w:line="240" w:before="0" w:after="0"/>
              <w:ind w:left="460" w:hanging="425"/>
              <w:contextualSpacing/>
              <w:jc w:val="both"/>
              <w:rPr>
                <w:rFonts w:ascii="Arial" w:hAnsi="Arial" w:cs="Arial"/>
                <w:sz w:val="24"/>
                <w:szCs w:val="24"/>
                <w:lang w:val="es-MX"/>
              </w:rPr>
            </w:pPr>
            <w:r>
              <w:rPr>
                <w:rFonts w:cs="Arial" w:ascii="Arial" w:hAnsi="Arial"/>
                <w:sz w:val="24"/>
                <w:szCs w:val="24"/>
                <w:lang w:val="es-MX"/>
              </w:rPr>
              <w:t xml:space="preserve">Resol. N° 6560/1, de fecha 26 de enero de 2011, Manual de Organización y Funcionamiento de Gobernaciones Marítimas y Capitanías de Puerto. </w:t>
            </w:r>
          </w:p>
          <w:p>
            <w:pPr>
              <w:pStyle w:val="ListParagraph"/>
              <w:numPr>
                <w:ilvl w:val="0"/>
                <w:numId w:val="10"/>
              </w:numPr>
              <w:spacing w:lineRule="auto" w:line="240" w:before="0" w:after="0"/>
              <w:ind w:left="460" w:hanging="425"/>
              <w:contextualSpacing/>
              <w:jc w:val="both"/>
              <w:rPr>
                <w:rFonts w:ascii="Arial" w:hAnsi="Arial" w:cs="Arial"/>
                <w:sz w:val="24"/>
                <w:szCs w:val="24"/>
                <w:lang w:val="es-MX"/>
              </w:rPr>
            </w:pPr>
            <w:r>
              <w:rPr>
                <w:rFonts w:cs="Arial" w:ascii="Arial" w:hAnsi="Arial"/>
                <w:sz w:val="24"/>
                <w:szCs w:val="24"/>
                <w:lang w:val="es-MX"/>
              </w:rPr>
              <w:t>Formulario Revista de inspección Depto. De Seguridad y Operaciones Marítimas, División de Medios a Flote, punto II, letra A.</w:t>
            </w:r>
          </w:p>
        </w:tc>
        <w:tc>
          <w:tcPr>
            <w:tcW w:w="3260" w:type="dxa"/>
            <w:tcBorders/>
          </w:tcPr>
          <w:p>
            <w:pPr>
              <w:pStyle w:val="Normal"/>
              <w:spacing w:lineRule="auto" w:line="240" w:before="0" w:after="0"/>
              <w:ind w:left="32" w:hanging="0"/>
              <w:jc w:val="both"/>
              <w:rPr>
                <w:rFonts w:ascii="Arial" w:hAnsi="Arial" w:cs="Arial"/>
                <w:sz w:val="24"/>
                <w:szCs w:val="24"/>
                <w:lang w:eastAsia="es-CL"/>
              </w:rPr>
            </w:pPr>
            <w:r>
              <w:rPr>
                <w:rFonts w:cs="Arial" w:ascii="Arial" w:hAnsi="Arial"/>
                <w:sz w:val="24"/>
                <w:szCs w:val="24"/>
                <w:lang w:eastAsia="es-CL"/>
              </w:rPr>
              <w:t>Confeccionar resolución designando a los patrones de bote de goma y que se encuentren calificados con la correspondiente C.P.O., remitiendo copia del acto administrativo interno correspondiente.</w:t>
            </w:r>
          </w:p>
        </w:tc>
        <w:tc>
          <w:tcPr>
            <w:tcW w:w="3827" w:type="dxa"/>
            <w:tcBorders/>
          </w:tcPr>
          <w:p>
            <w:pPr>
              <w:pStyle w:val="Normal"/>
              <w:spacing w:lineRule="auto" w:line="240" w:before="0" w:after="0"/>
              <w:jc w:val="both"/>
              <w:rPr>
                <w:rFonts w:ascii="Arial" w:hAnsi="Arial" w:eastAsia="Times New Roman" w:cs="Arial"/>
                <w:bCs/>
                <w:sz w:val="24"/>
                <w:szCs w:val="24"/>
                <w:lang w:eastAsia="es-CL"/>
              </w:rPr>
            </w:pPr>
            <w:r>
              <w:rPr>
                <w:rFonts w:cs="Arial" w:ascii="Arial" w:hAnsi="Arial"/>
                <w:sz w:val="24"/>
                <w:szCs w:val="24"/>
                <w:lang w:eastAsia="es-CL"/>
              </w:rPr>
              <w:t>Existe actualmente resolución</w:t>
            </w:r>
            <w:r>
              <w:rPr>
                <w:rFonts w:eastAsia="Times New Roman" w:cs="Arial" w:ascii="Arial" w:hAnsi="Arial"/>
                <w:bCs/>
                <w:sz w:val="24"/>
                <w:szCs w:val="24"/>
                <w:lang w:eastAsia="es-CL"/>
              </w:rPr>
              <w:t xml:space="preserve"> C.P. AGU. Res. N° 6030/7/Vrs., de fecha 16 de abril de 2021, en la cual se designa patrones para operar el bote “PUMAR 470”, los cuales se encuentran calificados como operador bote de goma en ficha personal del Escalafón Naval. </w:t>
            </w:r>
          </w:p>
          <w:p>
            <w:pPr>
              <w:pStyle w:val="Normal"/>
              <w:spacing w:lineRule="auto" w:line="240" w:before="0" w:after="0"/>
              <w:jc w:val="both"/>
              <w:rPr>
                <w:rFonts w:ascii="Arial" w:hAnsi="Arial" w:eastAsia="Times New Roman" w:cs="Arial"/>
                <w:bCs/>
                <w:sz w:val="24"/>
                <w:szCs w:val="24"/>
                <w:lang w:eastAsia="es-CL"/>
              </w:rPr>
            </w:pPr>
            <w:r>
              <w:rPr>
                <w:rFonts w:eastAsia="Times New Roman" w:cs="Arial" w:ascii="Arial" w:hAnsi="Arial"/>
                <w:bCs/>
                <w:sz w:val="24"/>
                <w:szCs w:val="24"/>
                <w:lang w:eastAsia="es-CL"/>
              </w:rPr>
              <w:t>En el anexo “E” se adjunta citada resolución y hoja control de cursos del personal designado.</w:t>
            </w:r>
          </w:p>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tc>
        <w:tc>
          <w:tcPr>
            <w:tcW w:w="2552"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454"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899" w:type="dxa"/>
        <w:jc w:val="center"/>
        <w:tblInd w:w="0" w:type="dxa"/>
        <w:tblCellMar>
          <w:top w:w="0" w:type="dxa"/>
          <w:left w:w="108" w:type="dxa"/>
          <w:bottom w:w="0" w:type="dxa"/>
          <w:right w:w="108" w:type="dxa"/>
        </w:tblCellMar>
        <w:tblLook w:firstRow="1" w:noVBand="1" w:lastRow="0" w:firstColumn="1" w:lastColumn="0" w:noHBand="0" w:val="04a0"/>
      </w:tblPr>
      <w:tblGrid>
        <w:gridCol w:w="608"/>
        <w:gridCol w:w="3093"/>
        <w:gridCol w:w="2409"/>
        <w:gridCol w:w="3000"/>
        <w:gridCol w:w="3827"/>
        <w:gridCol w:w="2551"/>
        <w:gridCol w:w="2410"/>
      </w:tblGrid>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0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40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00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82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551"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41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08"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c)</w:t>
            </w:r>
          </w:p>
        </w:tc>
        <w:tc>
          <w:tcPr>
            <w:tcW w:w="3093" w:type="dxa"/>
            <w:tcBorders/>
            <w:vAlign w:val="center"/>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 xml:space="preserve">Se evidenció que a la fecha de la inspección, la LSR- 4425 se encontraba con un avance en el consumo de combustible de un 53%. Lo anterior, debido a una disminución en su asignación lo que se estima repercutirá negativamente en la capacidad de fiscalización de las CC.MM. y centros de cultivo existentes en la jurisdicción y que solo puede ser realizada por vía marítima. (Cumplimiento del Plan Nacional de Fiscalización de Concesiones Marítimas y detección de ocupaciones ilegales). </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Del mismo modo y debido a la restricción de combustible, la embarcación se encuentra limitada por el Gobernador Marítimo solo a operaciones de Búsqueda y Salvamento y evacuaciones médicas.</w:t>
            </w:r>
          </w:p>
        </w:tc>
        <w:tc>
          <w:tcPr>
            <w:tcW w:w="2409" w:type="dxa"/>
            <w:tcBorders/>
          </w:tcPr>
          <w:p>
            <w:pPr>
              <w:pStyle w:val="ListParagraph"/>
              <w:numPr>
                <w:ilvl w:val="0"/>
                <w:numId w:val="11"/>
              </w:numPr>
              <w:spacing w:lineRule="auto" w:line="240" w:before="0" w:after="0"/>
              <w:ind w:left="460" w:hanging="425"/>
              <w:contextualSpacing/>
              <w:jc w:val="both"/>
              <w:rPr>
                <w:rFonts w:ascii="Arial" w:hAnsi="Arial" w:cs="Arial"/>
                <w:sz w:val="24"/>
                <w:szCs w:val="24"/>
                <w:lang w:val="es-MX"/>
              </w:rPr>
            </w:pPr>
            <w:r>
              <w:rPr>
                <w:rFonts w:cs="Arial" w:ascii="Arial" w:hAnsi="Arial"/>
                <w:sz w:val="24"/>
                <w:szCs w:val="24"/>
                <w:lang w:val="es-MX"/>
              </w:rPr>
              <w:t xml:space="preserve">Resol. N° 6560/1, de fecha 26 de enero de 2011, Manual de Organización y Funcionamiento de las Gobernaciones Marítimas y Capitanías de Puerto. </w:t>
            </w:r>
          </w:p>
          <w:p>
            <w:pPr>
              <w:pStyle w:val="ListParagraph"/>
              <w:numPr>
                <w:ilvl w:val="0"/>
                <w:numId w:val="11"/>
              </w:numPr>
              <w:spacing w:lineRule="auto" w:line="240" w:before="0" w:after="0"/>
              <w:ind w:left="460" w:hanging="425"/>
              <w:contextualSpacing/>
              <w:jc w:val="both"/>
              <w:rPr>
                <w:rFonts w:ascii="Arial" w:hAnsi="Arial" w:cs="Arial"/>
                <w:sz w:val="24"/>
                <w:szCs w:val="24"/>
              </w:rPr>
            </w:pPr>
            <w:r>
              <w:rPr>
                <w:rFonts w:cs="Arial" w:ascii="Arial" w:hAnsi="Arial"/>
                <w:sz w:val="24"/>
                <w:szCs w:val="24"/>
                <w:lang w:val="es-MX"/>
              </w:rPr>
              <w:t>Formulario Revista de Inspección de Seguridad y Operaciones Marítimas, punto II, letra E.</w:t>
            </w:r>
          </w:p>
          <w:p>
            <w:pPr>
              <w:pStyle w:val="ListParagraph"/>
              <w:numPr>
                <w:ilvl w:val="0"/>
                <w:numId w:val="11"/>
              </w:numPr>
              <w:spacing w:lineRule="auto" w:line="240" w:before="0" w:after="0"/>
              <w:ind w:left="460" w:hanging="425"/>
              <w:contextualSpacing/>
              <w:jc w:val="both"/>
              <w:rPr>
                <w:rFonts w:ascii="Arial" w:hAnsi="Arial" w:cs="Arial"/>
                <w:sz w:val="24"/>
                <w:szCs w:val="24"/>
              </w:rPr>
            </w:pPr>
            <w:r>
              <w:rPr>
                <w:rFonts w:cs="Arial" w:ascii="Arial" w:hAnsi="Arial"/>
                <w:sz w:val="24"/>
                <w:szCs w:val="24"/>
              </w:rPr>
              <w:t>Plan Nacional de Fiscalización de Concesiones Marítimas y detección de ocupación ilegal.</w:t>
            </w:r>
          </w:p>
        </w:tc>
        <w:tc>
          <w:tcPr>
            <w:tcW w:w="300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Oficiar al mando, planteando la situación de la falta de combustible y el efecto en las tareas de fiscalización principalmente de CC.MM. y de centros de cultivo.</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3827" w:type="dxa"/>
            <w:tcBorders/>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De acuerdo a MSG MARITGOBAYS 161635 JUN 2021 y 291112 JUN 2021, Departamento  de Seguridad y Operaciones Marítimas, se  asignó el total de 3.300 Lts. DMFO </w:t>
            </w:r>
            <w:r>
              <w:rPr>
                <w:rFonts w:cs="Arial" w:ascii="Arial" w:hAnsi="Arial"/>
                <w:sz w:val="24"/>
                <w:szCs w:val="24"/>
              </w:rPr>
              <w:t>para tareas de fiscalización pesquera y patrullajes para la Policía Marítima en el área jurisdiccional, lo que ha permitido retomar la planificación en materias de fiscalización CC.MM. y CC.AA. existentes en la  jurisdicción.</w:t>
            </w:r>
          </w:p>
        </w:tc>
        <w:tc>
          <w:tcPr>
            <w:tcW w:w="2551"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410"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996" w:type="dxa"/>
        <w:jc w:val="center"/>
        <w:tblInd w:w="0" w:type="dxa"/>
        <w:tblCellMar>
          <w:top w:w="0" w:type="dxa"/>
          <w:left w:w="108" w:type="dxa"/>
          <w:bottom w:w="0" w:type="dxa"/>
          <w:right w:w="108" w:type="dxa"/>
        </w:tblCellMar>
        <w:tblLook w:firstRow="1" w:noVBand="1" w:lastRow="0" w:firstColumn="1" w:lastColumn="0" w:noHBand="0" w:val="04a0"/>
      </w:tblPr>
      <w:tblGrid>
        <w:gridCol w:w="608"/>
        <w:gridCol w:w="3117"/>
        <w:gridCol w:w="2435"/>
        <w:gridCol w:w="2976"/>
        <w:gridCol w:w="3826"/>
        <w:gridCol w:w="2552"/>
        <w:gridCol w:w="2481"/>
      </w:tblGrid>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11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4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97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82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552"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48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08"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d)</w:t>
            </w:r>
          </w:p>
        </w:tc>
        <w:tc>
          <w:tcPr>
            <w:tcW w:w="3117"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la dotación de la LSR-4425 asignada a la Capitanía de Puerto, efectúa patrullajes terrestres de acuerdo a Rol establecido por el Capitán de Puerto.</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435" w:type="dxa"/>
            <w:tcBorders/>
          </w:tcPr>
          <w:p>
            <w:pPr>
              <w:pStyle w:val="Cuerpodetextoconsangra"/>
              <w:numPr>
                <w:ilvl w:val="0"/>
                <w:numId w:val="0"/>
              </w:numPr>
              <w:ind w:left="35" w:right="-244" w:hanging="0"/>
              <w:outlineLvl w:val="0"/>
              <w:rPr/>
            </w:pPr>
            <w:r>
              <w:rPr/>
              <w:t>Directiva Ordinaria P-03/001, punto  II, letra D.-.</w:t>
            </w:r>
          </w:p>
          <w:p>
            <w:pPr>
              <w:pStyle w:val="Normal"/>
              <w:spacing w:lineRule="auto" w:line="240" w:before="0" w:after="0"/>
              <w:jc w:val="both"/>
              <w:rPr>
                <w:rFonts w:ascii="Arial" w:hAnsi="Arial" w:cs="Arial"/>
                <w:sz w:val="24"/>
                <w:szCs w:val="24"/>
              </w:rPr>
            </w:pPr>
            <w:r>
              <w:rPr>
                <w:rFonts w:cs="Arial" w:ascii="Arial" w:hAnsi="Arial"/>
                <w:sz w:val="24"/>
                <w:szCs w:val="24"/>
              </w:rPr>
            </w:r>
          </w:p>
        </w:tc>
        <w:tc>
          <w:tcPr>
            <w:tcW w:w="2976" w:type="dxa"/>
            <w:tcBorders/>
            <w:vAlign w:val="center"/>
          </w:tcPr>
          <w:p>
            <w:pPr>
              <w:pStyle w:val="ListParagraph"/>
              <w:spacing w:lineRule="auto" w:line="240" w:before="0" w:after="0"/>
              <w:ind w:left="34" w:hanging="0"/>
              <w:contextualSpacing/>
              <w:jc w:val="both"/>
              <w:rPr>
                <w:rFonts w:ascii="Arial" w:hAnsi="Arial" w:cs="Arial"/>
                <w:sz w:val="24"/>
                <w:szCs w:val="24"/>
              </w:rPr>
            </w:pPr>
            <w:r>
              <w:rPr>
                <w:rFonts w:cs="Arial" w:ascii="Arial" w:hAnsi="Arial"/>
                <w:sz w:val="24"/>
                <w:szCs w:val="24"/>
                <w:lang w:val="es-MX"/>
              </w:rPr>
              <w:t xml:space="preserve">Dar cumplimiento a  instrucciones impartidas por la Dirección General del Territorio Marítimo y de Marina Mercante respecto de las funciones exclusivas del personal de dotación de las lanchas LSR Arcángel. </w:t>
            </w:r>
          </w:p>
        </w:tc>
        <w:tc>
          <w:tcPr>
            <w:tcW w:w="3826" w:type="dxa"/>
            <w:tcBorders/>
          </w:tcPr>
          <w:p>
            <w:pPr>
              <w:pStyle w:val="Normal"/>
              <w:spacing w:lineRule="auto" w:line="240" w:before="0" w:after="0"/>
              <w:jc w:val="both"/>
              <w:rPr>
                <w:rFonts w:ascii="Arial" w:hAnsi="Arial" w:cs="Arial"/>
                <w:sz w:val="24"/>
                <w:szCs w:val="24"/>
              </w:rPr>
            </w:pPr>
            <w:r>
              <w:rPr>
                <w:rFonts w:cs="Arial" w:ascii="Arial" w:hAnsi="Arial"/>
                <w:sz w:val="24"/>
                <w:szCs w:val="24"/>
              </w:rPr>
              <w:t>En cumplimiento a Directiva Ord. N° P-03/001, punto  II, letra D.-, dotación LSR-4425 cumplen funciones exclusivas como dotación  de la LSR Arcángel 4425.</w:t>
            </w:r>
          </w:p>
          <w:p>
            <w:pPr>
              <w:pStyle w:val="Normal"/>
              <w:spacing w:lineRule="auto" w:line="240" w:before="0" w:after="0"/>
              <w:jc w:val="both"/>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b/>
                <w:b/>
                <w:sz w:val="24"/>
                <w:szCs w:val="24"/>
                <w:lang w:val="es-MX"/>
              </w:rPr>
            </w:pPr>
            <w:r>
              <w:rPr>
                <w:rFonts w:cs="Arial" w:ascii="Arial" w:hAnsi="Arial"/>
                <w:b/>
                <w:sz w:val="24"/>
                <w:szCs w:val="24"/>
                <w:lang w:val="es-MX"/>
              </w:rPr>
            </w:r>
          </w:p>
        </w:tc>
        <w:tc>
          <w:tcPr>
            <w:tcW w:w="2552"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481"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903" w:type="dxa"/>
        <w:jc w:val="center"/>
        <w:tblInd w:w="0" w:type="dxa"/>
        <w:tblCellMar>
          <w:top w:w="0" w:type="dxa"/>
          <w:left w:w="108" w:type="dxa"/>
          <w:bottom w:w="0" w:type="dxa"/>
          <w:right w:w="108" w:type="dxa"/>
        </w:tblCellMar>
        <w:tblLook w:firstRow="1" w:noVBand="1" w:lastRow="0" w:firstColumn="1" w:lastColumn="0" w:noHBand="0" w:val="04a0"/>
      </w:tblPr>
      <w:tblGrid>
        <w:gridCol w:w="526"/>
        <w:gridCol w:w="2494"/>
        <w:gridCol w:w="3258"/>
        <w:gridCol w:w="2795"/>
        <w:gridCol w:w="4270"/>
        <w:gridCol w:w="2409"/>
        <w:gridCol w:w="2150"/>
      </w:tblGrid>
      <w:tr>
        <w:trPr>
          <w:tblHeader w:val="true"/>
        </w:trPr>
        <w:tc>
          <w:tcPr>
            <w:tcW w:w="52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5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79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27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9"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5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752" w:type="dxa"/>
            <w:gridSpan w:val="6"/>
            <w:tcBorders/>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p>
            <w:pPr>
              <w:pStyle w:val="Normal"/>
              <w:spacing w:lineRule="auto" w:line="240" w:before="0" w:after="0"/>
              <w:rPr>
                <w:rFonts w:ascii="Arial" w:hAnsi="Arial" w:cs="Arial"/>
                <w:b/>
                <w:b/>
                <w:sz w:val="24"/>
                <w:szCs w:val="24"/>
                <w:lang w:val="es-MX"/>
              </w:rPr>
            </w:pPr>
            <w:r>
              <w:rPr>
                <w:rFonts w:eastAsia="Times New Roman" w:cs="Arial" w:ascii="Arial" w:hAnsi="Arial"/>
                <w:b/>
                <w:bCs/>
                <w:color w:val="000000"/>
                <w:sz w:val="24"/>
                <w:szCs w:val="24"/>
                <w:lang w:eastAsia="es-CL"/>
              </w:rPr>
              <w:t>División Búsqueda y Salvamento.</w:t>
            </w:r>
          </w:p>
        </w:tc>
        <w:tc>
          <w:tcPr>
            <w:tcW w:w="2150" w:type="dxa"/>
            <w:tcBorders/>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tc>
      </w:tr>
      <w:tr>
        <w:trPr>
          <w:tblHeader w:val="true"/>
        </w:trPr>
        <w:tc>
          <w:tcPr>
            <w:tcW w:w="526" w:type="dxa"/>
            <w:tcBorders/>
          </w:tcPr>
          <w:p>
            <w:pPr>
              <w:pStyle w:val="Normal"/>
              <w:spacing w:lineRule="auto" w:line="240" w:before="0" w:after="0"/>
              <w:ind w:left="-113" w:right="-108" w:hanging="0"/>
              <w:jc w:val="center"/>
              <w:rPr>
                <w:rFonts w:ascii="Arial" w:hAnsi="Arial" w:cs="Arial"/>
                <w:sz w:val="23"/>
                <w:szCs w:val="23"/>
                <w:lang w:val="es-MX"/>
              </w:rPr>
            </w:pPr>
            <w:r>
              <w:rPr>
                <w:rFonts w:cs="Arial" w:ascii="Arial" w:hAnsi="Arial"/>
                <w:sz w:val="23"/>
                <w:szCs w:val="23"/>
                <w:lang w:val="es-MX"/>
              </w:rPr>
              <w:t>a)</w:t>
            </w:r>
          </w:p>
          <w:p>
            <w:pPr>
              <w:pStyle w:val="Normal"/>
              <w:spacing w:lineRule="auto" w:line="240" w:before="0" w:after="0"/>
              <w:ind w:left="-113" w:right="-108" w:hanging="0"/>
              <w:jc w:val="center"/>
              <w:rPr>
                <w:rFonts w:ascii="Arial" w:hAnsi="Arial" w:cs="Arial"/>
                <w:sz w:val="23"/>
                <w:szCs w:val="23"/>
                <w:lang w:val="es-MX"/>
              </w:rPr>
            </w:pPr>
            <w:r>
              <w:rPr>
                <w:rFonts w:cs="Arial" w:ascii="Arial" w:hAnsi="Arial"/>
                <w:sz w:val="23"/>
                <w:szCs w:val="23"/>
                <w:lang w:val="es-MX"/>
              </w:rPr>
            </w:r>
          </w:p>
          <w:p>
            <w:pPr>
              <w:pStyle w:val="Normal"/>
              <w:spacing w:lineRule="auto" w:line="240" w:before="0" w:after="0"/>
              <w:ind w:left="-113" w:right="-108" w:hanging="0"/>
              <w:jc w:val="center"/>
              <w:rPr>
                <w:rFonts w:ascii="Arial" w:hAnsi="Arial" w:cs="Arial"/>
                <w:sz w:val="23"/>
                <w:szCs w:val="23"/>
                <w:lang w:val="es-MX"/>
              </w:rPr>
            </w:pPr>
            <w:r>
              <w:rPr>
                <w:rFonts w:cs="Arial" w:ascii="Arial" w:hAnsi="Arial"/>
                <w:sz w:val="23"/>
                <w:szCs w:val="23"/>
                <w:lang w:val="es-MX"/>
              </w:rPr>
            </w:r>
          </w:p>
        </w:tc>
        <w:tc>
          <w:tcPr>
            <w:tcW w:w="2494" w:type="dxa"/>
            <w:tcBorders/>
          </w:tcPr>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val="es-MX" w:eastAsia="es-CL"/>
              </w:rPr>
              <w:t>Se evidenció f</w:t>
            </w:r>
            <w:r>
              <w:rPr>
                <w:rFonts w:eastAsia="Times New Roman" w:cs="Arial" w:ascii="Arial" w:hAnsi="Arial"/>
                <w:bCs/>
                <w:color w:val="000000"/>
                <w:sz w:val="24"/>
                <w:szCs w:val="24"/>
                <w:lang w:eastAsia="es-CL"/>
              </w:rPr>
              <w:t xml:space="preserve">alta de instrucción a los integrantes del departamento sobre la organización y procedimientos empleados como CAF en la activación del Servicio de Búsqueda y Salvamento Marítimo. </w:t>
            </w:r>
          </w:p>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r>
          </w:p>
        </w:tc>
        <w:tc>
          <w:tcPr>
            <w:tcW w:w="3258" w:type="dxa"/>
            <w:tcBorders/>
            <w:vAlign w:val="center"/>
          </w:tcPr>
          <w:p>
            <w:pPr>
              <w:pStyle w:val="ListParagraph"/>
              <w:numPr>
                <w:ilvl w:val="0"/>
                <w:numId w:val="12"/>
              </w:numPr>
              <w:spacing w:lineRule="auto" w:line="240" w:before="0" w:after="0"/>
              <w:ind w:left="460" w:hanging="425"/>
              <w:contextualSpacing/>
              <w:jc w:val="both"/>
              <w:rPr>
                <w:rFonts w:ascii="Arial" w:hAnsi="Arial" w:cs="Arial"/>
                <w:sz w:val="24"/>
                <w:szCs w:val="24"/>
                <w:lang w:val="es-MX"/>
              </w:rPr>
            </w:pPr>
            <w:r>
              <w:rPr>
                <w:rFonts w:cs="Arial" w:ascii="Arial" w:hAnsi="Arial"/>
                <w:sz w:val="24"/>
                <w:szCs w:val="24"/>
                <w:lang w:val="es-MX"/>
              </w:rPr>
              <w:t>Directiva que establece organización y dispone tareas relacionadas con las operaciones de Búsqueda y Salvamento en el área marítima de responsabilidad nacional. C.J.A. Ord. N° 12600/287, de fecha 26 de febrero de 2021.</w:t>
            </w:r>
          </w:p>
          <w:p>
            <w:pPr>
              <w:pStyle w:val="ListParagraph"/>
              <w:numPr>
                <w:ilvl w:val="0"/>
                <w:numId w:val="12"/>
              </w:numPr>
              <w:spacing w:lineRule="auto" w:line="240" w:before="0" w:after="0"/>
              <w:ind w:left="460" w:hanging="425"/>
              <w:contextualSpacing/>
              <w:jc w:val="both"/>
              <w:rPr>
                <w:rFonts w:ascii="Arial" w:hAnsi="Arial" w:cs="Arial"/>
                <w:sz w:val="24"/>
                <w:szCs w:val="24"/>
                <w:lang w:val="es-MX"/>
              </w:rPr>
            </w:pPr>
            <w:r>
              <w:rPr>
                <w:rFonts w:cs="Arial" w:ascii="Arial" w:hAnsi="Arial"/>
                <w:sz w:val="24"/>
                <w:szCs w:val="24"/>
                <w:lang w:val="es-MX"/>
              </w:rPr>
              <w:t>D.S. N° 1.190, de fecha 29 de diciembre de 1976, que organiza el Servicio de Búsqueda y Salvamento Marítimo dependiente de la Armada de Chile.</w:t>
            </w:r>
          </w:p>
          <w:p>
            <w:pPr>
              <w:pStyle w:val="ListParagraph"/>
              <w:numPr>
                <w:ilvl w:val="0"/>
                <w:numId w:val="12"/>
              </w:numPr>
              <w:spacing w:lineRule="auto" w:line="240" w:before="0" w:after="0"/>
              <w:ind w:left="460" w:hanging="425"/>
              <w:contextualSpacing/>
              <w:jc w:val="both"/>
              <w:rPr>
                <w:rFonts w:ascii="Arial" w:hAnsi="Arial" w:cs="Arial"/>
                <w:sz w:val="23"/>
                <w:szCs w:val="23"/>
                <w:lang w:val="es-MX"/>
              </w:rPr>
            </w:pPr>
            <w:r>
              <w:rPr>
                <w:rFonts w:cs="Arial" w:ascii="Arial" w:hAnsi="Arial"/>
                <w:sz w:val="24"/>
                <w:szCs w:val="24"/>
                <w:lang w:val="es-MX"/>
              </w:rPr>
              <w:t>C.P.O., publicadas en Subsitios, DIRSOMAR, MRCC Chile de la Intranet DIRECTEMAR.</w:t>
            </w:r>
          </w:p>
        </w:tc>
        <w:tc>
          <w:tcPr>
            <w:tcW w:w="2795" w:type="dxa"/>
            <w:tcBorders/>
          </w:tcPr>
          <w:p>
            <w:pPr>
              <w:pStyle w:val="ListParagraph"/>
              <w:numPr>
                <w:ilvl w:val="0"/>
                <w:numId w:val="13"/>
              </w:numPr>
              <w:spacing w:lineRule="auto" w:line="240" w:before="0" w:after="0"/>
              <w:ind w:left="458" w:hanging="426"/>
              <w:contextualSpacing/>
              <w:jc w:val="both"/>
              <w:rPr>
                <w:rFonts w:ascii="Arial" w:hAnsi="Arial" w:cs="Arial"/>
                <w:sz w:val="24"/>
                <w:szCs w:val="24"/>
                <w:lang w:val="es-MX"/>
              </w:rPr>
            </w:pPr>
            <w:r>
              <w:rPr>
                <w:rFonts w:cs="Arial" w:ascii="Arial" w:hAnsi="Arial"/>
                <w:sz w:val="24"/>
                <w:szCs w:val="24"/>
                <w:lang w:val="es-MX"/>
              </w:rPr>
              <w:t>Solicitar a la Gobernación Marítima, que efectúe instrucción a todo el personal de dotación de la Capitanía de Puerto.</w:t>
            </w:r>
          </w:p>
          <w:p>
            <w:pPr>
              <w:pStyle w:val="ListParagraph"/>
              <w:spacing w:lineRule="auto" w:line="240" w:before="0" w:after="0"/>
              <w:ind w:left="458" w:hanging="0"/>
              <w:contextualSpacing/>
              <w:jc w:val="both"/>
              <w:rPr>
                <w:rFonts w:ascii="Arial" w:hAnsi="Arial" w:cs="Arial"/>
                <w:sz w:val="24"/>
                <w:szCs w:val="24"/>
                <w:lang w:val="es-MX"/>
              </w:rPr>
            </w:pPr>
            <w:r>
              <w:rPr>
                <w:rFonts w:cs="Arial" w:ascii="Arial" w:hAnsi="Arial"/>
                <w:sz w:val="24"/>
                <w:szCs w:val="24"/>
                <w:lang w:val="es-MX"/>
              </w:rPr>
            </w:r>
          </w:p>
          <w:p>
            <w:pPr>
              <w:pStyle w:val="ListParagraph"/>
              <w:numPr>
                <w:ilvl w:val="0"/>
                <w:numId w:val="13"/>
              </w:numPr>
              <w:spacing w:lineRule="auto" w:line="240" w:before="0" w:after="0"/>
              <w:ind w:left="458" w:hanging="426"/>
              <w:contextualSpacing/>
              <w:jc w:val="both"/>
              <w:rPr>
                <w:rFonts w:ascii="Arial" w:hAnsi="Arial" w:eastAsia="Times New Roman" w:cs="Arial"/>
                <w:bCs/>
                <w:color w:val="000000"/>
                <w:sz w:val="24"/>
                <w:szCs w:val="24"/>
                <w:lang w:eastAsia="es-CL"/>
              </w:rPr>
            </w:pPr>
            <w:r>
              <w:rPr>
                <w:rFonts w:cs="Arial" w:ascii="Arial" w:hAnsi="Arial"/>
                <w:sz w:val="24"/>
                <w:szCs w:val="24"/>
              </w:rPr>
              <w:t>Efectuar instrucción al personal de dotación del Departamento de Operaciones y calificarlos de acuerdo a las C.P.O., publicadas en la intranet DIRECTEMAR.</w:t>
            </w:r>
            <w:r>
              <w:rPr>
                <w:rFonts w:cs="Arial" w:ascii="Arial" w:hAnsi="Arial"/>
                <w:sz w:val="24"/>
                <w:szCs w:val="24"/>
                <w:lang w:val="es-MX"/>
              </w:rPr>
              <w:t xml:space="preserve"> Informar fecha de la instrucción, cantidad de participantes y nombre instructor</w:t>
            </w:r>
            <w:r>
              <w:rPr>
                <w:rFonts w:cs="Arial" w:ascii="Arial" w:hAnsi="Arial"/>
                <w:b/>
                <w:sz w:val="24"/>
                <w:szCs w:val="24"/>
                <w:lang w:val="es-MX"/>
              </w:rPr>
              <w:t>.</w:t>
            </w:r>
          </w:p>
          <w:p>
            <w:pPr>
              <w:pStyle w:val="Normal"/>
              <w:spacing w:lineRule="auto" w:line="240" w:before="0" w:after="0"/>
              <w:ind w:left="32" w:hanging="0"/>
              <w:jc w:val="both"/>
              <w:rPr>
                <w:rFonts w:ascii="Arial" w:hAnsi="Arial" w:cs="Arial"/>
                <w:sz w:val="23"/>
                <w:szCs w:val="23"/>
              </w:rPr>
            </w:pPr>
            <w:r>
              <w:rPr>
                <w:rFonts w:cs="Arial" w:ascii="Arial" w:hAnsi="Arial"/>
                <w:sz w:val="23"/>
                <w:szCs w:val="23"/>
              </w:rPr>
            </w:r>
          </w:p>
        </w:tc>
        <w:tc>
          <w:tcPr>
            <w:tcW w:w="4270" w:type="dxa"/>
            <w:tcBorders/>
          </w:tcPr>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t>El día 26 de julio de 2021, el Encargado de la División de Búsqueda y Salvamento, junto al Sr. Capitán de Puerto como especialista en Telecomunicaciones, efectuarán instrucción al personal de la Capitanía de Puerto que cubre puestos de guardia, no existe C.P.O/C.P.R. correspondiente a CAF.</w:t>
            </w:r>
          </w:p>
          <w:p>
            <w:pPr>
              <w:pStyle w:val="Normal"/>
              <w:spacing w:lineRule="auto" w:line="240" w:before="0" w:after="0"/>
              <w:rPr>
                <w:rFonts w:ascii="Arial" w:hAnsi="Arial" w:eastAsia="Times New Roman" w:cs="Arial"/>
                <w:bCs/>
                <w:color w:val="000000"/>
                <w:sz w:val="23"/>
                <w:szCs w:val="23"/>
                <w:lang w:eastAsia="es-CL"/>
              </w:rPr>
            </w:pPr>
            <w:r>
              <w:rPr>
                <w:rFonts w:eastAsia="Times New Roman" w:cs="Arial" w:ascii="Arial" w:hAnsi="Arial"/>
                <w:bCs/>
                <w:color w:val="000000"/>
                <w:sz w:val="23"/>
                <w:szCs w:val="23"/>
                <w:lang w:eastAsia="es-CL"/>
              </w:rPr>
            </w:r>
          </w:p>
        </w:tc>
        <w:tc>
          <w:tcPr>
            <w:tcW w:w="240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eastAsia="es-CL"/>
              </w:rPr>
              <w:t>SUPERADA</w:t>
            </w:r>
          </w:p>
        </w:tc>
        <w:tc>
          <w:tcPr>
            <w:tcW w:w="2150" w:type="dxa"/>
            <w:tcBorders/>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r>
          </w:p>
        </w:tc>
      </w:tr>
      <w:tr>
        <w:trPr>
          <w:tblHeader w:val="true"/>
        </w:trPr>
        <w:tc>
          <w:tcPr>
            <w:tcW w:w="52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5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79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27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9"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5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15752" w:type="dxa"/>
            <w:gridSpan w:val="6"/>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p>
            <w:pPr>
              <w:pStyle w:val="Normal"/>
              <w:spacing w:lineRule="auto" w:line="240" w:before="0" w:after="0"/>
              <w:rPr>
                <w:rFonts w:ascii="Arial" w:hAnsi="Arial" w:cs="Arial"/>
                <w:b/>
                <w:b/>
                <w:sz w:val="16"/>
                <w:szCs w:val="16"/>
                <w:highlight w:val="yellow"/>
                <w:lang w:val="es-MX"/>
              </w:rPr>
            </w:pPr>
            <w:r>
              <w:rPr>
                <w:rFonts w:eastAsia="Times New Roman" w:cs="Arial" w:ascii="Arial" w:hAnsi="Arial"/>
                <w:b/>
                <w:bCs/>
                <w:color w:val="000000"/>
                <w:sz w:val="24"/>
                <w:szCs w:val="24"/>
                <w:lang w:eastAsia="es-CL"/>
              </w:rPr>
              <w:t>División Policía Marítima.</w:t>
            </w:r>
          </w:p>
        </w:tc>
        <w:tc>
          <w:tcPr>
            <w:tcW w:w="2150" w:type="dxa"/>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tc>
      </w:tr>
      <w:tr>
        <w:trPr>
          <w:tblHeader w:val="true"/>
          <w:trHeight w:val="580" w:hRule="atLeast"/>
        </w:trPr>
        <w:tc>
          <w:tcPr>
            <w:tcW w:w="526"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a)</w:t>
            </w:r>
          </w:p>
        </w:tc>
        <w:tc>
          <w:tcPr>
            <w:tcW w:w="2494" w:type="dxa"/>
            <w:tcBorders/>
          </w:tcPr>
          <w:p>
            <w:pPr>
              <w:pStyle w:val="Normal"/>
              <w:spacing w:lineRule="auto" w:line="240" w:before="0" w:after="0"/>
              <w:jc w:val="both"/>
              <w:rPr>
                <w:rFonts w:ascii="Arial" w:hAnsi="Arial" w:eastAsia="Times New Roman" w:cs="Arial"/>
                <w:bCs/>
                <w:strike/>
                <w:color w:val="000000"/>
                <w:sz w:val="24"/>
                <w:szCs w:val="24"/>
                <w:lang w:eastAsia="es-CL"/>
              </w:rPr>
            </w:pPr>
            <w:r>
              <w:rPr>
                <w:rFonts w:eastAsia="Times New Roman" w:cs="Arial" w:ascii="Arial" w:hAnsi="Arial"/>
                <w:bCs/>
                <w:color w:val="000000"/>
                <w:sz w:val="24"/>
                <w:szCs w:val="24"/>
                <w:lang w:eastAsia="es-CL"/>
              </w:rPr>
              <w:t>Se evidenció que al momento de la inspección el armamento de puño que posee la repartición para tareas de POLMAR, se encontraba con una platina de óxido.</w:t>
            </w:r>
          </w:p>
        </w:tc>
        <w:tc>
          <w:tcPr>
            <w:tcW w:w="3258" w:type="dxa"/>
            <w:tcBorders/>
          </w:tcPr>
          <w:p>
            <w:pPr>
              <w:pStyle w:val="Normal"/>
              <w:spacing w:lineRule="auto" w:line="240" w:before="0" w:after="0"/>
              <w:ind w:left="35" w:hanging="0"/>
              <w:jc w:val="both"/>
              <w:rPr>
                <w:rFonts w:ascii="Arial" w:hAnsi="Arial" w:cs="Arial"/>
                <w:sz w:val="24"/>
                <w:szCs w:val="24"/>
              </w:rPr>
            </w:pPr>
            <w:r>
              <w:rPr>
                <w:rFonts w:cs="Arial" w:ascii="Arial" w:hAnsi="Arial"/>
                <w:sz w:val="24"/>
                <w:szCs w:val="24"/>
              </w:rPr>
              <w:t xml:space="preserve">Formulario Revista de inspección Depto. De Seguridad y Operaciones Marítimas, punto IV, letra A.-. </w:t>
            </w:r>
          </w:p>
        </w:tc>
        <w:tc>
          <w:tcPr>
            <w:tcW w:w="2795" w:type="dxa"/>
            <w:tcBorders/>
          </w:tcPr>
          <w:p>
            <w:pPr>
              <w:pStyle w:val="ListParagraph"/>
              <w:numPr>
                <w:ilvl w:val="0"/>
                <w:numId w:val="14"/>
              </w:numPr>
              <w:spacing w:lineRule="auto" w:line="240" w:before="0" w:after="0"/>
              <w:ind w:left="458" w:hanging="426"/>
              <w:contextualSpacing/>
              <w:jc w:val="both"/>
              <w:rPr>
                <w:rFonts w:ascii="Arial" w:hAnsi="Arial" w:eastAsia="Times New Roman" w:cs="Arial"/>
                <w:sz w:val="24"/>
                <w:szCs w:val="24"/>
                <w:lang w:eastAsia="es-CL"/>
              </w:rPr>
            </w:pPr>
            <w:r>
              <w:rPr>
                <w:rFonts w:eastAsia="Times New Roman" w:cs="Arial" w:ascii="Arial" w:hAnsi="Arial"/>
                <w:sz w:val="24"/>
                <w:szCs w:val="24"/>
                <w:lang w:eastAsia="es-CL"/>
              </w:rPr>
              <w:t>Efectuar limpieza al armamento asignado.</w:t>
            </w:r>
          </w:p>
          <w:p>
            <w:pPr>
              <w:pStyle w:val="ListParagraph"/>
              <w:numPr>
                <w:ilvl w:val="0"/>
                <w:numId w:val="14"/>
              </w:numPr>
              <w:spacing w:lineRule="auto" w:line="240" w:before="0" w:after="0"/>
              <w:ind w:left="458" w:hanging="426"/>
              <w:contextualSpacing/>
              <w:jc w:val="both"/>
              <w:rPr>
                <w:rFonts w:ascii="Arial" w:hAnsi="Arial" w:eastAsia="Times New Roman" w:cs="Arial"/>
                <w:sz w:val="24"/>
                <w:szCs w:val="24"/>
                <w:lang w:eastAsia="es-CL"/>
              </w:rPr>
            </w:pPr>
            <w:r>
              <w:rPr>
                <w:rFonts w:eastAsia="Times New Roman" w:cs="Arial" w:ascii="Arial" w:hAnsi="Arial"/>
                <w:sz w:val="24"/>
                <w:szCs w:val="24"/>
                <w:lang w:eastAsia="es-CL"/>
              </w:rPr>
              <w:t>Instruir a UU.RR. dependientes sobre la mantención del material fiscal.</w:t>
            </w:r>
          </w:p>
        </w:tc>
        <w:tc>
          <w:tcPr>
            <w:tcW w:w="4270" w:type="dxa"/>
            <w:tcBorders/>
            <w:vAlign w:val="center"/>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De acuerdo a lo establecido en tarjeta de mantenimiento 8195 y 8196, se efectuó mantenimiento revólver “SW.38”, realizando procedimiento de mantención de primer nivel. </w:t>
            </w:r>
            <w:r>
              <w:rPr>
                <w:rFonts w:cs="Arial" w:ascii="Arial" w:hAnsi="Arial"/>
                <w:sz w:val="24"/>
                <w:szCs w:val="24"/>
              </w:rPr>
              <w:t xml:space="preserve">Se efectuó instrucción a la dotación respecto del Sistema de Mantenimiento Planificado  (SIMPLA). Se adjunta en el anexo “E” Acta de instrucción C.P. AGU. Ord. N° 14/2021 Vrs., de fecha 12 de julio de 2021. </w:t>
            </w:r>
          </w:p>
        </w:tc>
        <w:tc>
          <w:tcPr>
            <w:tcW w:w="2409"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150"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r>
        <w:trPr>
          <w:tblHeader w:val="true"/>
          <w:trHeight w:val="580" w:hRule="atLeast"/>
        </w:trPr>
        <w:tc>
          <w:tcPr>
            <w:tcW w:w="526"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494"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 xml:space="preserve">Se evidenció que el Plan de Alistamiento para huelgas, movilización o incidentes en el puerto o jurisdicción marítima no se encuentra actualizado y no se ajusta a la realidad de la Capitanía de Puerto en relación a la cantidad (05 equipos completos), y tipo de equipo antidisturbios asignado. </w:t>
            </w:r>
          </w:p>
        </w:tc>
        <w:tc>
          <w:tcPr>
            <w:tcW w:w="3258" w:type="dxa"/>
            <w:tcBorders/>
          </w:tcPr>
          <w:p>
            <w:pPr>
              <w:pStyle w:val="ListParagraph"/>
              <w:numPr>
                <w:ilvl w:val="0"/>
                <w:numId w:val="15"/>
              </w:numPr>
              <w:spacing w:lineRule="auto" w:line="240" w:before="0" w:after="0"/>
              <w:ind w:left="460" w:hanging="425"/>
              <w:contextualSpacing/>
              <w:jc w:val="both"/>
              <w:rPr>
                <w:rFonts w:ascii="Arial" w:hAnsi="Arial" w:cs="Arial"/>
                <w:sz w:val="24"/>
                <w:szCs w:val="24"/>
              </w:rPr>
            </w:pPr>
            <w:r>
              <w:rPr>
                <w:rFonts w:cs="Arial" w:ascii="Arial" w:hAnsi="Arial"/>
                <w:sz w:val="24"/>
                <w:szCs w:val="24"/>
              </w:rPr>
              <w:t>Resol. N° 6560/1, de fecha 26 de enero de 2011, Manual de Organización y Funcionamiento de las Gobernaciones Marítimas y Capitanías de Puerto.</w:t>
            </w:r>
          </w:p>
          <w:p>
            <w:pPr>
              <w:pStyle w:val="ListParagraph"/>
              <w:numPr>
                <w:ilvl w:val="0"/>
                <w:numId w:val="15"/>
              </w:numPr>
              <w:spacing w:lineRule="auto" w:line="240" w:before="0" w:after="0"/>
              <w:ind w:left="460" w:hanging="425"/>
              <w:contextualSpacing/>
              <w:jc w:val="both"/>
              <w:rPr>
                <w:rFonts w:ascii="Arial" w:hAnsi="Arial" w:cs="Arial"/>
                <w:sz w:val="24"/>
                <w:szCs w:val="24"/>
              </w:rPr>
            </w:pPr>
            <w:r>
              <w:rPr>
                <w:rFonts w:cs="Arial" w:ascii="Arial" w:hAnsi="Arial"/>
                <w:sz w:val="24"/>
                <w:szCs w:val="24"/>
              </w:rPr>
              <w:t>Formulario Revista de inspección Depto. de Seguridad y Operaciones Marítimas, punto IV, letras F.- y G.-.</w:t>
            </w:r>
          </w:p>
        </w:tc>
        <w:tc>
          <w:tcPr>
            <w:tcW w:w="2795"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Actualizar el Plan de acuerdo a la realidad jurisdiccional considerando cantidad y tipo de equipo antidisturbios asignado.</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4270" w:type="dxa"/>
            <w:tcBorders/>
          </w:tcPr>
          <w:p>
            <w:pPr>
              <w:pStyle w:val="Normal"/>
              <w:spacing w:lineRule="auto" w:line="240" w:before="0" w:after="0"/>
              <w:jc w:val="both"/>
              <w:rPr>
                <w:rFonts w:ascii="Arial" w:hAnsi="Arial" w:cs="Arial"/>
                <w:sz w:val="24"/>
                <w:szCs w:val="24"/>
              </w:rPr>
            </w:pPr>
            <w:r>
              <w:rPr>
                <w:rFonts w:cs="Arial" w:ascii="Arial" w:hAnsi="Arial"/>
                <w:sz w:val="24"/>
                <w:szCs w:val="24"/>
              </w:rPr>
              <w:t>Se establece Plan C.P. AGU. Ord. 3150/05, de fecha 23 de junio de 2021, que establece el Plan Alistamiento para huelgas, movilización o incidentes en el puerto o jurisdicción marítima, el que designa obligaciones y cargos al personal dependiente de la  Capitanía de Puerto de acuerdo a equipamiento antidisturbios asignado.</w:t>
            </w:r>
          </w:p>
        </w:tc>
        <w:tc>
          <w:tcPr>
            <w:tcW w:w="240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eastAsia="es-CL"/>
              </w:rPr>
              <w:t>SUPERADA</w:t>
            </w:r>
          </w:p>
        </w:tc>
        <w:tc>
          <w:tcPr>
            <w:tcW w:w="2150" w:type="dxa"/>
            <w:tcBorders/>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906" w:type="dxa"/>
        <w:jc w:val="center"/>
        <w:tblInd w:w="0" w:type="dxa"/>
        <w:tblCellMar>
          <w:top w:w="0" w:type="dxa"/>
          <w:left w:w="108" w:type="dxa"/>
          <w:bottom w:w="0" w:type="dxa"/>
          <w:right w:w="108" w:type="dxa"/>
        </w:tblCellMar>
        <w:tblLook w:firstRow="1" w:noVBand="1" w:lastRow="0" w:firstColumn="1" w:lastColumn="0" w:noHBand="0" w:val="04a0"/>
      </w:tblPr>
      <w:tblGrid>
        <w:gridCol w:w="571"/>
        <w:gridCol w:w="2424"/>
        <w:gridCol w:w="3243"/>
        <w:gridCol w:w="2834"/>
        <w:gridCol w:w="4253"/>
        <w:gridCol w:w="2410"/>
        <w:gridCol w:w="2170"/>
      </w:tblGrid>
      <w:tr>
        <w:trPr>
          <w:tblHeader w:val="true"/>
        </w:trPr>
        <w:tc>
          <w:tcPr>
            <w:tcW w:w="571"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2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4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25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10"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7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571"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c)</w:t>
            </w:r>
          </w:p>
        </w:tc>
        <w:tc>
          <w:tcPr>
            <w:tcW w:w="2424"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falta de conocimiento respecto de las acciones a ejecutar por la Capitanía de Puerto ante la probabilidad de ocurrencia de un Tsunami.</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3243" w:type="dxa"/>
            <w:tcBorders/>
          </w:tcPr>
          <w:p>
            <w:pPr>
              <w:pStyle w:val="ListParagraph"/>
              <w:numPr>
                <w:ilvl w:val="0"/>
                <w:numId w:val="1"/>
              </w:numPr>
              <w:spacing w:lineRule="auto" w:line="240" w:before="0" w:after="0"/>
              <w:ind w:left="460" w:hanging="425"/>
              <w:contextualSpacing/>
              <w:jc w:val="both"/>
              <w:rPr>
                <w:rFonts w:ascii="Arial" w:hAnsi="Arial" w:cs="Arial"/>
                <w:sz w:val="24"/>
                <w:szCs w:val="24"/>
              </w:rPr>
            </w:pPr>
            <w:r>
              <w:rPr>
                <w:rFonts w:cs="Arial" w:ascii="Arial" w:hAnsi="Arial"/>
                <w:sz w:val="24"/>
                <w:szCs w:val="24"/>
              </w:rPr>
              <w:t>Plan Local ante Tsunami.</w:t>
            </w:r>
          </w:p>
          <w:p>
            <w:pPr>
              <w:pStyle w:val="ListParagraph"/>
              <w:numPr>
                <w:ilvl w:val="0"/>
                <w:numId w:val="1"/>
              </w:numPr>
              <w:spacing w:lineRule="auto" w:line="240" w:before="0" w:after="0"/>
              <w:ind w:left="460" w:hanging="425"/>
              <w:contextualSpacing/>
              <w:jc w:val="both"/>
              <w:rPr>
                <w:rFonts w:ascii="Arial" w:hAnsi="Arial" w:cs="Arial"/>
                <w:sz w:val="24"/>
                <w:szCs w:val="24"/>
              </w:rPr>
            </w:pPr>
            <w:r>
              <w:rPr>
                <w:rFonts w:cs="Arial" w:ascii="Arial" w:hAnsi="Arial"/>
                <w:sz w:val="24"/>
                <w:szCs w:val="24"/>
              </w:rPr>
              <w:t>Directiva D.G.T.M. y M.M. L 02/003, respecto de las acciones a seguir por la Autoridad Marítima en los distintos Estados de Alertamiento.</w:t>
            </w:r>
          </w:p>
          <w:p>
            <w:pPr>
              <w:pStyle w:val="ListParagraph"/>
              <w:numPr>
                <w:ilvl w:val="0"/>
                <w:numId w:val="1"/>
              </w:numPr>
              <w:spacing w:lineRule="auto" w:line="240" w:before="0" w:after="0"/>
              <w:ind w:left="460" w:hanging="425"/>
              <w:contextualSpacing/>
              <w:jc w:val="both"/>
              <w:rPr>
                <w:rFonts w:ascii="Arial" w:hAnsi="Arial" w:cs="Arial"/>
                <w:sz w:val="24"/>
                <w:szCs w:val="24"/>
              </w:rPr>
            </w:pPr>
            <w:r>
              <w:rPr>
                <w:rFonts w:cs="Arial" w:ascii="Arial" w:hAnsi="Arial"/>
                <w:sz w:val="24"/>
                <w:szCs w:val="24"/>
              </w:rPr>
              <w:t>Formulario Revista de inspección Depto. de Seguridad y Operaciones Marítimas, punto IV, letra F.-.</w:t>
            </w:r>
          </w:p>
        </w:tc>
        <w:tc>
          <w:tcPr>
            <w:tcW w:w="2834" w:type="dxa"/>
            <w:tcBorders/>
          </w:tcPr>
          <w:p>
            <w:pPr>
              <w:pStyle w:val="Normal"/>
              <w:spacing w:lineRule="auto" w:line="240" w:before="0" w:after="0"/>
              <w:jc w:val="both"/>
              <w:rPr>
                <w:rFonts w:ascii="Arial" w:hAnsi="Arial" w:cs="Arial"/>
                <w:sz w:val="24"/>
                <w:szCs w:val="24"/>
                <w:lang w:eastAsia="es-CL"/>
              </w:rPr>
            </w:pPr>
            <w:r>
              <w:rPr>
                <w:rFonts w:eastAsia="Times New Roman" w:cs="Arial" w:ascii="Arial" w:hAnsi="Arial"/>
                <w:sz w:val="24"/>
                <w:szCs w:val="24"/>
                <w:lang w:eastAsia="es-CL"/>
              </w:rPr>
              <w:t>Efectuar instrucción al personal de dotación de la Capitanía de Puerto, informando fecha de su realización, nombre del instructor y relación de participantes.</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4253" w:type="dxa"/>
            <w:tcBorders/>
          </w:tcPr>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t xml:space="preserve">Con fecha 24 de junio de 2021, se efectuó instrucción al personal dependiente de esta Capitanía de Puerto, efectuado por el Jefe del Departamento de Seguridad y Operaciones Marítimas,  según señala el Plan Subsidiario de Tsunami y </w:t>
            </w:r>
            <w:r>
              <w:rPr>
                <w:rFonts w:cs="Arial" w:ascii="Arial" w:hAnsi="Arial"/>
                <w:sz w:val="24"/>
                <w:szCs w:val="24"/>
              </w:rPr>
              <w:t>Directiva D.G.T.M. y M.M. L 02/003</w:t>
            </w:r>
            <w:r>
              <w:rPr>
                <w:rFonts w:eastAsia="Times New Roman" w:cs="Arial" w:ascii="Arial" w:hAnsi="Arial"/>
                <w:bCs/>
                <w:color w:val="000000"/>
                <w:sz w:val="24"/>
                <w:szCs w:val="24"/>
                <w:lang w:eastAsia="es-CL"/>
              </w:rPr>
              <w:t xml:space="preserve">, con las obligaciones y procedimientos que deben adoptar el personal de esta Capitanía de Puerto, ante la eventualidad de la posible ocurrencia de Tsunami en las costas de Chile. </w:t>
            </w:r>
          </w:p>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r>
          </w:p>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t>Se adjunta Acta de Instrucción, con detalle participantes, en anexo “E”.</w:t>
            </w:r>
          </w:p>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tc>
        <w:tc>
          <w:tcPr>
            <w:tcW w:w="2410"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170"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915" w:type="dxa"/>
        <w:jc w:val="center"/>
        <w:tblInd w:w="0" w:type="dxa"/>
        <w:tblCellMar>
          <w:top w:w="0" w:type="dxa"/>
          <w:left w:w="108" w:type="dxa"/>
          <w:bottom w:w="0" w:type="dxa"/>
          <w:right w:w="108" w:type="dxa"/>
        </w:tblCellMar>
        <w:tblLook w:firstRow="1" w:noVBand="1" w:lastRow="0" w:firstColumn="1" w:lastColumn="0" w:noHBand="0" w:val="04a0"/>
      </w:tblPr>
      <w:tblGrid>
        <w:gridCol w:w="562"/>
        <w:gridCol w:w="2415"/>
        <w:gridCol w:w="3261"/>
        <w:gridCol w:w="2835"/>
        <w:gridCol w:w="4253"/>
        <w:gridCol w:w="2408"/>
        <w:gridCol w:w="2180"/>
      </w:tblGrid>
      <w:tr>
        <w:trPr>
          <w:tblHeader w:val="true"/>
        </w:trPr>
        <w:tc>
          <w:tcPr>
            <w:tcW w:w="562"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1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6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25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8"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8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734" w:type="dxa"/>
            <w:gridSpan w:val="6"/>
            <w:tcBorders/>
            <w:vAlign w:val="center"/>
          </w:tcPr>
          <w:p>
            <w:pPr>
              <w:pStyle w:val="Normal"/>
              <w:spacing w:lineRule="auto" w:line="240" w:before="0" w:after="0"/>
              <w:rPr>
                <w:rFonts w:ascii="Arial" w:hAnsi="Arial" w:eastAsia="Times New Roman" w:cs="Arial"/>
                <w:b/>
                <w:b/>
                <w:bCs/>
                <w:color w:val="000000"/>
                <w:sz w:val="16"/>
                <w:szCs w:val="16"/>
                <w:highlight w:val="red"/>
                <w:lang w:eastAsia="es-CL"/>
              </w:rPr>
            </w:pPr>
            <w:r>
              <w:rPr>
                <w:rFonts w:eastAsia="Times New Roman" w:cs="Arial" w:ascii="Arial" w:hAnsi="Arial"/>
                <w:b/>
                <w:bCs/>
                <w:color w:val="000000"/>
                <w:sz w:val="16"/>
                <w:szCs w:val="16"/>
                <w:highlight w:val="red"/>
                <w:lang w:eastAsia="es-CL"/>
              </w:rPr>
            </w:r>
          </w:p>
          <w:p>
            <w:pPr>
              <w:pStyle w:val="Normal"/>
              <w:spacing w:lineRule="auto" w:line="240" w:before="0" w:after="0"/>
              <w:ind w:left="34" w:right="30" w:hanging="0"/>
              <w:jc w:val="both"/>
              <w:rPr>
                <w:rFonts w:ascii="Arial" w:hAnsi="Arial" w:cs="Arial"/>
                <w:b/>
                <w:b/>
                <w:sz w:val="16"/>
                <w:szCs w:val="16"/>
                <w:highlight w:val="red"/>
              </w:rPr>
            </w:pPr>
            <w:r>
              <w:rPr>
                <w:rFonts w:eastAsia="Times New Roman" w:cs="Arial" w:ascii="Arial" w:hAnsi="Arial"/>
                <w:b/>
                <w:sz w:val="24"/>
                <w:szCs w:val="24"/>
                <w:lang w:eastAsia="es-CL"/>
              </w:rPr>
              <w:t>4.- JEFATURA DEL DEPTO. DE INTERESES MARÍTIMOS Y PRESERVACIÓN DEL MEDIO AMBIENTE ACUÁTICO.</w:t>
            </w:r>
          </w:p>
        </w:tc>
        <w:tc>
          <w:tcPr>
            <w:tcW w:w="2180" w:type="dxa"/>
            <w:tcBorders/>
          </w:tcPr>
          <w:p>
            <w:pPr>
              <w:pStyle w:val="Normal"/>
              <w:spacing w:lineRule="auto" w:line="240" w:before="0" w:after="0"/>
              <w:rPr>
                <w:rFonts w:ascii="Arial" w:hAnsi="Arial" w:eastAsia="Times New Roman" w:cs="Arial"/>
                <w:b/>
                <w:b/>
                <w:bCs/>
                <w:color w:val="000000"/>
                <w:sz w:val="16"/>
                <w:szCs w:val="16"/>
                <w:highlight w:val="red"/>
                <w:lang w:eastAsia="es-CL"/>
              </w:rPr>
            </w:pPr>
            <w:r>
              <w:rPr>
                <w:rFonts w:eastAsia="Times New Roman" w:cs="Arial" w:ascii="Arial" w:hAnsi="Arial"/>
                <w:b/>
                <w:bCs/>
                <w:color w:val="000000"/>
                <w:sz w:val="16"/>
                <w:szCs w:val="16"/>
                <w:highlight w:val="red"/>
                <w:lang w:eastAsia="es-CL"/>
              </w:rPr>
            </w:r>
          </w:p>
        </w:tc>
      </w:tr>
      <w:tr>
        <w:trPr>
          <w:tblHeader w:val="true"/>
        </w:trPr>
        <w:tc>
          <w:tcPr>
            <w:tcW w:w="562" w:type="dxa"/>
            <w:tcBorders/>
          </w:tcPr>
          <w:p>
            <w:pPr>
              <w:pStyle w:val="Normal"/>
              <w:spacing w:lineRule="auto" w:line="240" w:before="0" w:after="0"/>
              <w:ind w:left="34" w:right="30" w:hanging="0"/>
              <w:jc w:val="center"/>
              <w:rPr>
                <w:rFonts w:ascii="Arial" w:hAnsi="Arial" w:eastAsia="Times New Roman" w:cs="Arial"/>
                <w:sz w:val="24"/>
                <w:szCs w:val="24"/>
                <w:lang w:eastAsia="es-CL"/>
              </w:rPr>
            </w:pPr>
            <w:r>
              <w:rPr>
                <w:rFonts w:eastAsia="Times New Roman" w:cs="Arial" w:ascii="Arial" w:hAnsi="Arial"/>
                <w:sz w:val="24"/>
                <w:szCs w:val="24"/>
                <w:lang w:eastAsia="es-CL"/>
              </w:rPr>
              <w:t>a)</w:t>
            </w:r>
          </w:p>
        </w:tc>
        <w:tc>
          <w:tcPr>
            <w:tcW w:w="2415"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Se evidenció que, en el programa de fiscalización del departamento, no se incluyó a las Concesiones de Acuicultura (CC.AA.). </w:t>
            </w:r>
          </w:p>
        </w:tc>
        <w:tc>
          <w:tcPr>
            <w:tcW w:w="3261" w:type="dxa"/>
            <w:tcBorders/>
          </w:tcPr>
          <w:p>
            <w:pPr>
              <w:pStyle w:val="ListParagraph"/>
              <w:spacing w:lineRule="auto" w:line="240" w:before="0" w:after="0"/>
              <w:ind w:left="35" w:hanging="0"/>
              <w:contextualSpacing/>
              <w:jc w:val="both"/>
              <w:rPr>
                <w:rFonts w:ascii="Arial" w:hAnsi="Arial" w:cs="Arial"/>
                <w:sz w:val="24"/>
                <w:szCs w:val="24"/>
              </w:rPr>
            </w:pPr>
            <w:r>
              <w:rPr>
                <w:rFonts w:cs="Arial" w:ascii="Arial" w:hAnsi="Arial"/>
                <w:sz w:val="24"/>
                <w:szCs w:val="24"/>
              </w:rPr>
              <w:t>Reglamento de concesiones y autorizaciones de acuicultura, D.S. Nº 290, de fecha 28 de mayo de 1993, Art. 47° letra c) y 48°.</w:t>
            </w:r>
          </w:p>
        </w:tc>
        <w:tc>
          <w:tcPr>
            <w:tcW w:w="2835" w:type="dxa"/>
            <w:tcBorders/>
          </w:tcPr>
          <w:p>
            <w:pPr>
              <w:pStyle w:val="Normal"/>
              <w:spacing w:lineRule="auto" w:line="240" w:before="0" w:after="0"/>
              <w:jc w:val="both"/>
              <w:rPr>
                <w:rFonts w:ascii="Arial" w:hAnsi="Arial" w:eastAsia="Times New Roman" w:cs="Arial"/>
                <w:sz w:val="24"/>
                <w:szCs w:val="24"/>
                <w:lang w:eastAsia="es-CL"/>
              </w:rPr>
            </w:pPr>
            <w:r>
              <w:rPr>
                <w:rFonts w:cs="Arial" w:ascii="Arial" w:hAnsi="Arial"/>
                <w:sz w:val="24"/>
                <w:szCs w:val="24"/>
              </w:rPr>
              <w:t>Modificar el programa de fiscalización, objeto incluir a las CC.AA., de acuerdo a la realidad jurisdiccional y disponibilidad de medios, remitiendo el acto administrativo correspondiente que regulariza esta observación.</w:t>
            </w:r>
          </w:p>
        </w:tc>
        <w:tc>
          <w:tcPr>
            <w:tcW w:w="4253" w:type="dxa"/>
            <w:tcBorders/>
          </w:tcPr>
          <w:p>
            <w:pPr>
              <w:pStyle w:val="Normal"/>
              <w:spacing w:lineRule="auto" w:line="240" w:before="0" w:after="0"/>
              <w:jc w:val="both"/>
              <w:rPr>
                <w:rFonts w:ascii="Arial" w:hAnsi="Arial" w:cs="Arial"/>
                <w:sz w:val="24"/>
                <w:szCs w:val="24"/>
              </w:rPr>
            </w:pPr>
            <w:r>
              <w:rPr>
                <w:rFonts w:cs="Arial" w:ascii="Arial" w:hAnsi="Arial"/>
                <w:sz w:val="24"/>
                <w:szCs w:val="24"/>
                <w:lang w:val="es-MX"/>
              </w:rPr>
              <w:t xml:space="preserve">Plan Nacional de Fiscalización para CC.AA. </w:t>
            </w:r>
            <w:r>
              <w:rPr>
                <w:rFonts w:cs="Arial" w:ascii="Arial" w:hAnsi="Arial"/>
                <w:sz w:val="24"/>
                <w:szCs w:val="24"/>
              </w:rPr>
              <w:t>c</w:t>
            </w:r>
            <w:r>
              <w:rPr>
                <w:rFonts w:cs="Arial" w:ascii="Arial" w:hAnsi="Arial"/>
                <w:sz w:val="24"/>
                <w:szCs w:val="24"/>
                <w:lang w:val="es-MX"/>
              </w:rPr>
              <w:t xml:space="preserve">on instrucciones a las Autoridades </w:t>
            </w:r>
            <w:r>
              <w:rPr>
                <w:rFonts w:cs="Arial" w:ascii="Arial" w:hAnsi="Arial"/>
                <w:sz w:val="24"/>
                <w:szCs w:val="24"/>
              </w:rPr>
              <w:t>M</w:t>
            </w:r>
            <w:r>
              <w:rPr>
                <w:rFonts w:cs="Arial" w:ascii="Arial" w:hAnsi="Arial"/>
                <w:sz w:val="24"/>
                <w:szCs w:val="24"/>
                <w:lang w:val="es-MX"/>
              </w:rPr>
              <w:t xml:space="preserve">arítimas Locales </w:t>
            </w:r>
            <w:r>
              <w:rPr>
                <w:rFonts w:cs="Arial" w:ascii="Arial" w:hAnsi="Arial"/>
                <w:sz w:val="24"/>
                <w:szCs w:val="24"/>
              </w:rPr>
              <w:t>s</w:t>
            </w:r>
            <w:r>
              <w:rPr>
                <w:rFonts w:cs="Arial" w:ascii="Arial" w:hAnsi="Arial"/>
                <w:sz w:val="24"/>
                <w:szCs w:val="24"/>
                <w:lang w:val="es-MX"/>
              </w:rPr>
              <w:t xml:space="preserve">erá remitido oficialmente por DIRINMAR, el cual se encuentra en proceso de firma </w:t>
            </w:r>
            <w:r>
              <w:rPr>
                <w:rFonts w:cs="Arial" w:ascii="Arial" w:hAnsi="Arial"/>
                <w:sz w:val="24"/>
                <w:szCs w:val="24"/>
              </w:rPr>
              <w:t>por el</w:t>
            </w:r>
            <w:r>
              <w:rPr>
                <w:rFonts w:cs="Arial" w:ascii="Arial" w:hAnsi="Arial"/>
                <w:sz w:val="24"/>
                <w:szCs w:val="24"/>
                <w:lang w:val="es-MX"/>
              </w:rPr>
              <w:t xml:space="preserve"> Sr. Almirante</w:t>
            </w:r>
            <w:r>
              <w:rPr>
                <w:rFonts w:cs="Arial" w:ascii="Arial" w:hAnsi="Arial"/>
                <w:sz w:val="24"/>
                <w:szCs w:val="24"/>
              </w:rPr>
              <w:t xml:space="preserve">, según lo informado </w:t>
            </w:r>
            <w:r>
              <w:rPr>
                <w:rFonts w:cs="Arial" w:ascii="Arial" w:hAnsi="Arial"/>
                <w:sz w:val="24"/>
                <w:szCs w:val="24"/>
                <w:lang w:val="es-MX"/>
              </w:rPr>
              <w:t xml:space="preserve">por Encargado de CC.MM. de la Gobernación Marítima de Aysén, </w:t>
            </w:r>
            <w:r>
              <w:rPr>
                <w:rFonts w:cs="Arial" w:ascii="Arial" w:hAnsi="Arial"/>
                <w:sz w:val="24"/>
                <w:szCs w:val="24"/>
              </w:rPr>
              <w:t>luego de consultar</w:t>
            </w:r>
            <w:r>
              <w:rPr>
                <w:rFonts w:cs="Arial" w:ascii="Arial" w:hAnsi="Arial"/>
                <w:sz w:val="24"/>
                <w:szCs w:val="24"/>
                <w:lang w:val="es-MX"/>
              </w:rPr>
              <w:t xml:space="preserve"> al Dpto. Borde Costero </w:t>
            </w:r>
            <w:r>
              <w:rPr>
                <w:rFonts w:cs="Arial" w:ascii="Arial" w:hAnsi="Arial"/>
                <w:sz w:val="24"/>
                <w:szCs w:val="24"/>
              </w:rPr>
              <w:t xml:space="preserve">de la DIRINMAR, </w:t>
            </w:r>
            <w:r>
              <w:rPr>
                <w:rFonts w:cs="Arial" w:ascii="Arial" w:hAnsi="Arial"/>
                <w:sz w:val="24"/>
                <w:szCs w:val="24"/>
                <w:lang w:val="es-MX"/>
              </w:rPr>
              <w:t xml:space="preserve">según correo electrónico de </w:t>
            </w:r>
            <w:hyperlink r:id="rId2">
              <w:r>
                <w:rPr>
                  <w:rStyle w:val="EnlacedeInternet"/>
                  <w:rFonts w:cs="Arial" w:ascii="Arial" w:hAnsi="Arial"/>
                  <w:sz w:val="24"/>
                  <w:szCs w:val="24"/>
                  <w:lang w:val="es-MX"/>
                </w:rPr>
                <w:t>eyanez@dgtm.cl</w:t>
              </w:r>
            </w:hyperlink>
            <w:r>
              <w:rPr>
                <w:rStyle w:val="EnlacedeInternet"/>
                <w:rFonts w:cs="Arial" w:ascii="Arial" w:hAnsi="Arial"/>
                <w:sz w:val="24"/>
                <w:szCs w:val="24"/>
                <w:u w:val="none"/>
                <w:lang w:val="es-MX"/>
              </w:rPr>
              <w:t>,</w:t>
            </w:r>
            <w:r>
              <w:rPr>
                <w:rFonts w:cs="Arial" w:ascii="Arial" w:hAnsi="Arial"/>
                <w:sz w:val="24"/>
                <w:szCs w:val="24"/>
                <w:lang w:val="es-MX"/>
              </w:rPr>
              <w:t xml:space="preserve"> de fecha 1 de julio de 2021.</w:t>
            </w:r>
            <w:r>
              <w:rPr>
                <w:rFonts w:cs="Arial" w:ascii="Arial" w:hAnsi="Arial"/>
                <w:sz w:val="24"/>
                <w:szCs w:val="24"/>
              </w:rPr>
              <w:t xml:space="preserve"> </w:t>
            </w:r>
          </w:p>
          <w:p>
            <w:pPr>
              <w:pStyle w:val="Normal"/>
              <w:spacing w:lineRule="auto" w:line="240" w:before="0" w:after="0"/>
              <w:jc w:val="both"/>
              <w:rPr>
                <w:rFonts w:ascii="Arial" w:hAnsi="Arial" w:cs="Arial"/>
                <w:sz w:val="24"/>
                <w:szCs w:val="24"/>
              </w:rPr>
            </w:pPr>
            <w:r>
              <w:rPr>
                <w:rFonts w:cs="Arial" w:ascii="Arial" w:hAnsi="Arial"/>
                <w:sz w:val="24"/>
                <w:szCs w:val="24"/>
              </w:rPr>
            </w:r>
          </w:p>
          <w:p>
            <w:pPr>
              <w:pStyle w:val="Normal"/>
              <w:spacing w:lineRule="auto" w:line="240" w:before="0" w:after="0"/>
              <w:jc w:val="both"/>
              <w:rPr>
                <w:rFonts w:ascii="Arial" w:hAnsi="Arial" w:cs="Arial"/>
                <w:sz w:val="24"/>
                <w:szCs w:val="24"/>
              </w:rPr>
            </w:pPr>
            <w:r>
              <w:rPr>
                <w:rFonts w:cs="Arial" w:ascii="Arial" w:hAnsi="Arial"/>
                <w:sz w:val="24"/>
                <w:szCs w:val="24"/>
              </w:rPr>
              <w:t>Se adjunta correo, como referencia, en el anexo “E”.</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tc>
        <w:tc>
          <w:tcPr>
            <w:tcW w:w="240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PENDIENTE</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Hasta que se publique el Plan Nacional de Fiscalización CC.AA., esa Capuerto, debe tener un plan local y  remitir copia del plan correspondiente.</w:t>
            </w:r>
          </w:p>
        </w:tc>
        <w:tc>
          <w:tcPr>
            <w:tcW w:w="2180" w:type="dxa"/>
            <w:tcBorders/>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Se confeccionó el “Plan de Fiscalización de Concesiones de Acuicultura en la Jurisdicción de la Capitanía de Puerto de Puerto Aguirre”, C.P.AGU. ORDINARIO N° 12200/3, de fecha 13 de diciembre de 2021.</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Se adjunta en Anexo “E” copia del citado Plan.</w:t>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951" w:type="dxa"/>
        <w:jc w:val="center"/>
        <w:tblInd w:w="0" w:type="dxa"/>
        <w:tblCellMar>
          <w:top w:w="0" w:type="dxa"/>
          <w:left w:w="108" w:type="dxa"/>
          <w:bottom w:w="0" w:type="dxa"/>
          <w:right w:w="108" w:type="dxa"/>
        </w:tblCellMar>
        <w:tblLook w:firstRow="1" w:noVBand="1" w:lastRow="0" w:firstColumn="1" w:lastColumn="0" w:noHBand="0" w:val="04a0"/>
      </w:tblPr>
      <w:tblGrid>
        <w:gridCol w:w="527"/>
        <w:gridCol w:w="2451"/>
        <w:gridCol w:w="3259"/>
        <w:gridCol w:w="2835"/>
        <w:gridCol w:w="4254"/>
        <w:gridCol w:w="2408"/>
        <w:gridCol w:w="2216"/>
      </w:tblGrid>
      <w:tr>
        <w:trPr>
          <w:tblHeader w:val="true"/>
        </w:trPr>
        <w:tc>
          <w:tcPr>
            <w:tcW w:w="52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5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5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25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8"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216" w:type="dxa"/>
            <w:tcBorders/>
            <w:vAlign w:val="center"/>
          </w:tcPr>
          <w:p>
            <w:pPr>
              <w:pStyle w:val="Normal"/>
              <w:spacing w:lineRule="auto" w:line="240" w:before="0" w:after="0"/>
              <w:ind w:right="-19" w:hanging="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527" w:type="dxa"/>
            <w:tcBorders/>
          </w:tcPr>
          <w:p>
            <w:pPr>
              <w:pStyle w:val="Normal"/>
              <w:spacing w:lineRule="auto" w:line="240" w:before="0" w:after="0"/>
              <w:ind w:left="34" w:right="30" w:hanging="0"/>
              <w:jc w:val="center"/>
              <w:rPr>
                <w:rFonts w:ascii="Arial" w:hAnsi="Arial" w:eastAsia="Times New Roman" w:cs="Arial"/>
                <w:sz w:val="24"/>
                <w:szCs w:val="24"/>
                <w:lang w:eastAsia="es-CL"/>
              </w:rPr>
            </w:pPr>
            <w:r>
              <w:rPr>
                <w:rFonts w:eastAsia="Times New Roman" w:cs="Arial" w:ascii="Arial" w:hAnsi="Arial"/>
                <w:sz w:val="24"/>
                <w:szCs w:val="24"/>
                <w:lang w:eastAsia="es-CL"/>
              </w:rPr>
              <w:t>b)</w:t>
            </w:r>
          </w:p>
        </w:tc>
        <w:tc>
          <w:tcPr>
            <w:tcW w:w="2451"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Se evidenció que la custodia y entrega de formularios valorizados confeccionados, es realizado por la encargada de la División de Recaudaciones, no existiendo participación, ni interacción directa entre los usuarios marítimo y los encargados de las otras Divisiones que confeccionan los documentos y reciben la demanda (personal marítimo, registro de naves e inspecciones, entre otros), no siendo factible comprobar la existencia de algún  documento (O.P.I., resolución) por parte del CAPUERTO que disponga este procedimiento. </w:t>
            </w:r>
          </w:p>
        </w:tc>
        <w:tc>
          <w:tcPr>
            <w:tcW w:w="3259" w:type="dxa"/>
            <w:tcBorders/>
          </w:tcPr>
          <w:p>
            <w:pPr>
              <w:pStyle w:val="Normal"/>
              <w:spacing w:lineRule="auto" w:line="240" w:before="0" w:after="0"/>
              <w:jc w:val="both"/>
              <w:rPr>
                <w:rFonts w:ascii="Arial" w:hAnsi="Arial" w:cs="Arial"/>
                <w:sz w:val="24"/>
                <w:szCs w:val="24"/>
              </w:rPr>
            </w:pPr>
            <w:r>
              <w:rPr>
                <w:rFonts w:cs="Arial" w:ascii="Arial" w:hAnsi="Arial"/>
                <w:sz w:val="24"/>
                <w:szCs w:val="24"/>
              </w:rPr>
              <w:t>Resolución D.G.T.M. y M.M. Ord. N° 6560/1 Vrs., de fecha 26 de enero de 2011, Manual de Organización y Operaciones de Gobernaciones Marítimas y Capitanías de Puerto, art. 1019, letra F.</w:t>
            </w:r>
          </w:p>
        </w:tc>
        <w:tc>
          <w:tcPr>
            <w:tcW w:w="2835" w:type="dxa"/>
            <w:tcBorders/>
          </w:tcPr>
          <w:p>
            <w:pPr>
              <w:pStyle w:val="Normal"/>
              <w:spacing w:lineRule="auto" w:line="240" w:before="0" w:after="0"/>
              <w:jc w:val="both"/>
              <w:rPr>
                <w:rFonts w:ascii="Arial" w:hAnsi="Arial" w:cs="Arial"/>
                <w:sz w:val="24"/>
                <w:szCs w:val="24"/>
              </w:rPr>
            </w:pPr>
            <w:r>
              <w:rPr>
                <w:rFonts w:cs="Arial" w:ascii="Arial" w:hAnsi="Arial"/>
                <w:sz w:val="24"/>
                <w:szCs w:val="24"/>
              </w:rPr>
              <w:t>En caso de no existir, confeccionar documento que disponga el procedimiento para la custodia y entrega de formularios valorizados confeccionados, donde se delimite claramente las funciones de los encargados de División y sus responsabilidades; remitiendo copia del acto administrativo que regulariza esta observación.</w:t>
            </w:r>
          </w:p>
        </w:tc>
        <w:tc>
          <w:tcPr>
            <w:tcW w:w="4254" w:type="dxa"/>
            <w:tcBorders/>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Se actualizó O.P.I.  C.P. AGU. Nº 635/2021, de fecha 17 de junio de 2021, procedimiento de entrega y control de Formulario Valorizados, en la cual se incorporó el anexo  “B”,  en el cual se indica la relación de usuarios internos, que  retiran F.V. </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Adjunto en el anexo “E” citada O.P.I. y Acta de instrucción respectiva.</w:t>
            </w:r>
          </w:p>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tc>
        <w:tc>
          <w:tcPr>
            <w:tcW w:w="240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216" w:type="dxa"/>
            <w:tcBorders/>
          </w:tcPr>
          <w:p>
            <w:pPr>
              <w:pStyle w:val="Normal"/>
              <w:spacing w:lineRule="auto" w:line="240" w:before="0" w:after="0"/>
              <w:ind w:right="-19" w:hanging="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933" w:type="dxa"/>
        <w:jc w:val="center"/>
        <w:tblInd w:w="0" w:type="dxa"/>
        <w:tblCellMar>
          <w:top w:w="0" w:type="dxa"/>
          <w:left w:w="108" w:type="dxa"/>
          <w:bottom w:w="0" w:type="dxa"/>
          <w:right w:w="108" w:type="dxa"/>
        </w:tblCellMar>
        <w:tblLook w:firstRow="1" w:noVBand="1" w:lastRow="0" w:firstColumn="1" w:lastColumn="0" w:noHBand="0" w:val="04a0"/>
      </w:tblPr>
      <w:tblGrid>
        <w:gridCol w:w="568"/>
        <w:gridCol w:w="2410"/>
        <w:gridCol w:w="3259"/>
        <w:gridCol w:w="2835"/>
        <w:gridCol w:w="4254"/>
        <w:gridCol w:w="2408"/>
        <w:gridCol w:w="2198"/>
      </w:tblGrid>
      <w:tr>
        <w:trPr>
          <w:tblHeader w:val="true"/>
        </w:trPr>
        <w:tc>
          <w:tcPr>
            <w:tcW w:w="56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1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5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25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8"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98"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15734" w:type="dxa"/>
            <w:gridSpan w:val="6"/>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p>
            <w:pPr>
              <w:pStyle w:val="Normal"/>
              <w:spacing w:lineRule="auto" w:line="240" w:before="0" w:after="0"/>
              <w:rPr>
                <w:rFonts w:ascii="Arial" w:hAnsi="Arial" w:cs="Arial"/>
                <w:b/>
                <w:b/>
                <w:sz w:val="16"/>
                <w:szCs w:val="16"/>
                <w:highlight w:val="yellow"/>
                <w:lang w:val="es-MX"/>
              </w:rPr>
            </w:pPr>
            <w:r>
              <w:rPr>
                <w:rFonts w:cs="Arial" w:ascii="Arial" w:hAnsi="Arial"/>
                <w:b/>
                <w:sz w:val="24"/>
                <w:szCs w:val="24"/>
              </w:rPr>
              <w:t>División de Concesiones Marítimas</w:t>
            </w:r>
            <w:r>
              <w:rPr>
                <w:rFonts w:eastAsia="Times New Roman" w:cs="Arial" w:ascii="Arial" w:hAnsi="Arial"/>
                <w:b/>
                <w:bCs/>
                <w:color w:val="000000"/>
                <w:sz w:val="24"/>
                <w:szCs w:val="24"/>
                <w:lang w:eastAsia="es-CL"/>
              </w:rPr>
              <w:t>.</w:t>
            </w:r>
          </w:p>
        </w:tc>
        <w:tc>
          <w:tcPr>
            <w:tcW w:w="2198" w:type="dxa"/>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tc>
      </w:tr>
      <w:tr>
        <w:trPr>
          <w:tblHeader w:val="true"/>
          <w:trHeight w:val="580" w:hRule="atLeast"/>
        </w:trPr>
        <w:tc>
          <w:tcPr>
            <w:tcW w:w="568"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a)</w:t>
            </w:r>
          </w:p>
        </w:tc>
        <w:tc>
          <w:tcPr>
            <w:tcW w:w="2410" w:type="dxa"/>
            <w:tcBorders/>
          </w:tcPr>
          <w:p>
            <w:pPr>
              <w:pStyle w:val="Normal"/>
              <w:spacing w:lineRule="auto" w:line="240" w:before="0" w:after="0"/>
              <w:ind w:left="33" w:right="33" w:hanging="0"/>
              <w:jc w:val="both"/>
              <w:rPr>
                <w:rFonts w:ascii="Arial" w:hAnsi="Arial" w:cs="Arial"/>
                <w:sz w:val="24"/>
                <w:szCs w:val="24"/>
              </w:rPr>
            </w:pPr>
            <w:r>
              <w:rPr>
                <w:rFonts w:cs="Arial" w:ascii="Arial" w:hAnsi="Arial"/>
                <w:sz w:val="24"/>
                <w:szCs w:val="24"/>
              </w:rPr>
              <w:t>Se evidenció que en el cargo existe, desde el año 2018, un posicionador satelital marca Garmin GPSMAR 64S, el cual nunca ha sido usado por el encargado (embalaje de origen), por falta de instrucción y conocimiento en el empleo.</w:t>
            </w:r>
          </w:p>
        </w:tc>
        <w:tc>
          <w:tcPr>
            <w:tcW w:w="3259" w:type="dxa"/>
            <w:tcBorders/>
          </w:tcPr>
          <w:p>
            <w:pPr>
              <w:pStyle w:val="ListParagraph"/>
              <w:numPr>
                <w:ilvl w:val="0"/>
                <w:numId w:val="16"/>
              </w:numPr>
              <w:spacing w:lineRule="auto" w:line="240" w:before="0" w:after="0"/>
              <w:ind w:left="464" w:hanging="425"/>
              <w:contextualSpacing/>
              <w:jc w:val="both"/>
              <w:rPr>
                <w:rFonts w:ascii="Arial" w:hAnsi="Arial" w:cs="Arial"/>
                <w:sz w:val="24"/>
                <w:szCs w:val="24"/>
              </w:rPr>
            </w:pPr>
            <w:r>
              <w:rPr>
                <w:rFonts w:cs="Arial" w:ascii="Arial" w:hAnsi="Arial"/>
                <w:sz w:val="24"/>
                <w:szCs w:val="24"/>
              </w:rPr>
              <w:t>D.G.T.M. y M.M. Ord. N° 3400/1 Vrs., de fecha 26 de junio de 2019, Aprueba políticas permanentes de la D.G.T.M. y M.M.</w:t>
            </w:r>
          </w:p>
          <w:p>
            <w:pPr>
              <w:pStyle w:val="ListParagraph"/>
              <w:numPr>
                <w:ilvl w:val="0"/>
                <w:numId w:val="16"/>
              </w:numPr>
              <w:spacing w:lineRule="auto" w:line="240" w:before="0" w:after="0"/>
              <w:ind w:left="464" w:hanging="425"/>
              <w:contextualSpacing/>
              <w:jc w:val="both"/>
              <w:rPr>
                <w:rFonts w:ascii="Arial" w:hAnsi="Arial" w:cs="Arial"/>
                <w:sz w:val="24"/>
                <w:szCs w:val="24"/>
              </w:rPr>
            </w:pPr>
            <w:r>
              <w:rPr>
                <w:rFonts w:cs="Arial" w:ascii="Arial" w:hAnsi="Arial"/>
                <w:sz w:val="24"/>
                <w:szCs w:val="24"/>
              </w:rPr>
              <w:t>Ordenanza de la Armada, Capítulo II, Oficiales de Cargo, art. 836° y Oficiales de DIVISIÓNART. 844°</w:t>
            </w:r>
          </w:p>
        </w:tc>
        <w:tc>
          <w:tcPr>
            <w:tcW w:w="2835" w:type="dxa"/>
            <w:tcBorders/>
          </w:tcPr>
          <w:p>
            <w:pPr>
              <w:pStyle w:val="ListParagraph"/>
              <w:numPr>
                <w:ilvl w:val="0"/>
                <w:numId w:val="17"/>
              </w:numPr>
              <w:spacing w:lineRule="auto" w:line="240" w:before="0" w:after="0"/>
              <w:ind w:left="459" w:hanging="426"/>
              <w:contextualSpacing/>
              <w:jc w:val="both"/>
              <w:rPr>
                <w:rFonts w:ascii="Arial" w:hAnsi="Arial" w:cs="Arial"/>
                <w:sz w:val="24"/>
                <w:szCs w:val="24"/>
              </w:rPr>
            </w:pPr>
            <w:r>
              <w:rPr>
                <w:rFonts w:cs="Arial" w:ascii="Arial" w:hAnsi="Arial"/>
                <w:sz w:val="24"/>
                <w:szCs w:val="24"/>
              </w:rPr>
              <w:t>Solicitar a su mando operativo la instrucción en el empleo del GPS asignado al cargo, informando la fecha con que se regularizó esta observación.</w:t>
            </w:r>
          </w:p>
          <w:p>
            <w:pPr>
              <w:pStyle w:val="ListParagraph"/>
              <w:numPr>
                <w:ilvl w:val="0"/>
                <w:numId w:val="17"/>
              </w:numPr>
              <w:spacing w:lineRule="auto" w:line="240" w:before="0" w:after="0"/>
              <w:ind w:left="459" w:hanging="426"/>
              <w:contextualSpacing/>
              <w:jc w:val="both"/>
              <w:rPr>
                <w:rFonts w:ascii="Arial" w:hAnsi="Arial" w:cs="Arial"/>
                <w:sz w:val="24"/>
                <w:szCs w:val="24"/>
              </w:rPr>
            </w:pPr>
            <w:r>
              <w:rPr>
                <w:rFonts w:cs="Arial" w:ascii="Arial" w:hAnsi="Arial"/>
                <w:sz w:val="24"/>
                <w:szCs w:val="24"/>
              </w:rPr>
              <w:t>Investigar e informar motivo de esta deficiencia.</w:t>
            </w:r>
          </w:p>
        </w:tc>
        <w:tc>
          <w:tcPr>
            <w:tcW w:w="4254" w:type="dxa"/>
            <w:tcBorders/>
          </w:tcPr>
          <w:p>
            <w:pPr>
              <w:pStyle w:val="ListParagraph"/>
              <w:numPr>
                <w:ilvl w:val="0"/>
                <w:numId w:val="18"/>
              </w:numPr>
              <w:spacing w:lineRule="auto" w:line="240" w:before="0" w:after="0"/>
              <w:ind w:left="459" w:hanging="425"/>
              <w:contextualSpacing/>
              <w:jc w:val="both"/>
              <w:rPr>
                <w:rFonts w:ascii="Arial" w:hAnsi="Arial" w:cs="Arial"/>
                <w:sz w:val="24"/>
                <w:szCs w:val="24"/>
              </w:rPr>
            </w:pPr>
            <w:r>
              <w:rPr>
                <w:rFonts w:cs="Arial" w:ascii="Arial" w:hAnsi="Arial"/>
                <w:sz w:val="24"/>
                <w:szCs w:val="24"/>
              </w:rPr>
              <w:t>Gobernación Marítima de Aysén, Departamento de Intereses Marítimos, gestiona instrucción de uso y mantenimiento Equipo GPS  Nivel Jurisdiccional  a través de video conferencia con  personal de la División Cartografía DIRINMAR, la cual se llevó a cabo  desde 19 hasta el 22 de julio de 2021.</w:t>
            </w:r>
          </w:p>
          <w:p>
            <w:pPr>
              <w:pStyle w:val="ListParagraph"/>
              <w:numPr>
                <w:ilvl w:val="0"/>
                <w:numId w:val="18"/>
              </w:numPr>
              <w:spacing w:lineRule="auto" w:line="240" w:before="0" w:after="0"/>
              <w:ind w:left="459" w:hanging="425"/>
              <w:contextualSpacing/>
              <w:jc w:val="both"/>
              <w:rPr>
                <w:rFonts w:ascii="Arial" w:hAnsi="Arial" w:cs="Arial"/>
                <w:b/>
                <w:b/>
                <w:sz w:val="24"/>
                <w:szCs w:val="24"/>
                <w:lang w:val="es-MX"/>
              </w:rPr>
            </w:pPr>
            <w:r>
              <w:rPr>
                <w:rFonts w:cs="Arial" w:ascii="Arial" w:hAnsi="Arial"/>
                <w:sz w:val="24"/>
                <w:szCs w:val="24"/>
              </w:rPr>
              <w:t>Por instrucción Sr. Capitán de Puerto en plaza año 2018, S1 L. (Seg.M.) J. REINAO M., se instruyó al encargado de CC.MM. vía verbal de no manipular equipo hasta recibir instrucción por personal DIRINMAR capacitado en cartografía y calibración equipo GPS.</w:t>
            </w:r>
          </w:p>
        </w:tc>
        <w:tc>
          <w:tcPr>
            <w:tcW w:w="240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PENDIENTE</w:t>
            </w:r>
          </w:p>
          <w:p>
            <w:pPr>
              <w:pStyle w:val="Normal"/>
              <w:spacing w:lineRule="auto" w:line="240" w:before="0" w:after="0"/>
              <w:jc w:val="both"/>
              <w:rPr>
                <w:rFonts w:ascii="Arial" w:hAnsi="Arial" w:cs="Arial"/>
                <w:sz w:val="24"/>
                <w:szCs w:val="24"/>
                <w:highlight w:val="yellow"/>
                <w:lang w:val="es-MX"/>
              </w:rPr>
            </w:pPr>
            <w:r>
              <w:rPr>
                <w:rFonts w:cs="Arial" w:ascii="Arial" w:hAnsi="Arial"/>
                <w:sz w:val="24"/>
                <w:szCs w:val="24"/>
                <w:lang w:val="es-MX"/>
              </w:rPr>
              <w:t>Hasta que se concrete la instrucción, remitir acto administrativo.</w:t>
            </w:r>
          </w:p>
        </w:tc>
        <w:tc>
          <w:tcPr>
            <w:tcW w:w="2198" w:type="dxa"/>
            <w:tcBorders/>
          </w:tcPr>
          <w:p>
            <w:pPr>
              <w:pStyle w:val="Normal"/>
              <w:spacing w:lineRule="auto" w:line="240" w:before="0" w:after="0"/>
              <w:jc w:val="both"/>
              <w:rPr>
                <w:rFonts w:ascii="Arial" w:hAnsi="Arial" w:cs="Arial"/>
                <w:b/>
                <w:b/>
                <w:sz w:val="24"/>
                <w:szCs w:val="24"/>
                <w:lang w:val="es-MX"/>
              </w:rPr>
            </w:pPr>
            <w:r>
              <w:rPr>
                <w:rFonts w:cs="Arial" w:ascii="Arial" w:hAnsi="Arial"/>
                <w:sz w:val="24"/>
                <w:szCs w:val="24"/>
                <w:lang w:val="es-MX"/>
              </w:rPr>
              <w:t>Mediante Mensaje.</w:t>
            </w:r>
            <w:r>
              <w:rPr>
                <w:rFonts w:cs="Arial" w:ascii="Arial" w:hAnsi="Arial"/>
                <w:b/>
                <w:sz w:val="24"/>
                <w:szCs w:val="24"/>
                <w:lang w:val="es-MX"/>
              </w:rPr>
              <w:t xml:space="preserve"> </w:t>
            </w:r>
            <w:r>
              <w:rPr>
                <w:rFonts w:cs="Arial" w:ascii="Arial" w:hAnsi="Arial"/>
                <w:sz w:val="24"/>
                <w:szCs w:val="24"/>
                <w:lang w:val="es-MX"/>
              </w:rPr>
              <w:t>MARITGOBAYS R-070730 DIC 2021, se solicitó a la Dirección de Intereses Marítimos y Medio Ambiente Acuático instrucción bajo la modalidad online, A través Mensaje  DIRINMAR R-130938 DIC 2021, citada Dirección Técnica da conformidad al requerimiento, la cual se encuentra planificada para el primer semestre año 2022.</w:t>
            </w:r>
            <w:r>
              <w:rPr>
                <w:rFonts w:cs="Arial" w:ascii="Arial" w:hAnsi="Arial"/>
                <w:b/>
                <w:sz w:val="24"/>
                <w:szCs w:val="24"/>
                <w:lang w:val="es-MX"/>
              </w:rPr>
              <w:t xml:space="preserve"> </w:t>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817" w:type="dxa"/>
        <w:jc w:val="center"/>
        <w:tblInd w:w="0" w:type="dxa"/>
        <w:tblCellMar>
          <w:top w:w="0" w:type="dxa"/>
          <w:left w:w="108" w:type="dxa"/>
          <w:bottom w:w="0" w:type="dxa"/>
          <w:right w:w="108" w:type="dxa"/>
        </w:tblCellMar>
        <w:tblLook w:firstRow="1" w:noVBand="1" w:lastRow="0" w:firstColumn="1" w:lastColumn="0" w:noHBand="0" w:val="04a0"/>
      </w:tblPr>
      <w:tblGrid>
        <w:gridCol w:w="481"/>
        <w:gridCol w:w="2408"/>
        <w:gridCol w:w="3259"/>
        <w:gridCol w:w="2835"/>
        <w:gridCol w:w="4255"/>
        <w:gridCol w:w="2408"/>
        <w:gridCol w:w="2170"/>
      </w:tblGrid>
      <w:tr>
        <w:trPr>
          <w:tblHeader w:val="true"/>
        </w:trPr>
        <w:tc>
          <w:tcPr>
            <w:tcW w:w="481"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0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5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25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8"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7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481"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b)</w:t>
            </w:r>
          </w:p>
        </w:tc>
        <w:tc>
          <w:tcPr>
            <w:tcW w:w="2408" w:type="dxa"/>
            <w:tcBorders/>
          </w:tcPr>
          <w:p>
            <w:pPr>
              <w:pStyle w:val="Normal"/>
              <w:spacing w:lineRule="auto" w:line="240" w:before="0" w:after="0"/>
              <w:jc w:val="both"/>
              <w:rPr>
                <w:rFonts w:ascii="Arial" w:hAnsi="Arial" w:cs="Arial"/>
                <w:sz w:val="24"/>
                <w:szCs w:val="24"/>
              </w:rPr>
            </w:pPr>
            <w:r>
              <w:rPr>
                <w:rFonts w:cs="Arial" w:ascii="Arial" w:hAnsi="Arial"/>
                <w:sz w:val="24"/>
                <w:szCs w:val="24"/>
              </w:rPr>
              <w:t>De acuerdo a consulta efectuada al encargado, se evidenció que la entrega material de las CC.MM. y CC.AA., en lo que respecta al posicionamiento de los vértices, se efectúa conforme a los puntos que proporciona el concesionario, no siendo corroborados por la Autoridad Marítima debido al desconocimiento del uso del equipo GPS.</w:t>
            </w:r>
          </w:p>
        </w:tc>
        <w:tc>
          <w:tcPr>
            <w:tcW w:w="3259" w:type="dxa"/>
            <w:tcBorders/>
          </w:tcPr>
          <w:p>
            <w:pPr>
              <w:pStyle w:val="Normal"/>
              <w:spacing w:lineRule="auto" w:line="240" w:before="0" w:after="0"/>
              <w:jc w:val="both"/>
              <w:rPr>
                <w:rFonts w:ascii="Arial" w:hAnsi="Arial" w:cs="Arial"/>
                <w:sz w:val="24"/>
                <w:szCs w:val="24"/>
              </w:rPr>
            </w:pPr>
            <w:r>
              <w:rPr>
                <w:rFonts w:cs="Arial" w:ascii="Arial" w:hAnsi="Arial"/>
                <w:sz w:val="24"/>
                <w:szCs w:val="24"/>
              </w:rPr>
              <w:t>Reglamento Sobre Concesiones Marítimas, D.S. N° 9, de fecha 11 de enero de 2011, art 76°</w:t>
            </w:r>
          </w:p>
        </w:tc>
        <w:tc>
          <w:tcPr>
            <w:tcW w:w="2835" w:type="dxa"/>
            <w:tcBorders/>
          </w:tcPr>
          <w:p>
            <w:pPr>
              <w:pStyle w:val="Normal"/>
              <w:spacing w:lineRule="auto" w:line="240" w:before="0" w:after="0"/>
              <w:jc w:val="both"/>
              <w:rPr>
                <w:rFonts w:ascii="Arial" w:hAnsi="Arial" w:cs="Arial"/>
                <w:sz w:val="24"/>
                <w:szCs w:val="24"/>
              </w:rPr>
            </w:pPr>
            <w:r>
              <w:rPr>
                <w:rFonts w:cs="Arial" w:ascii="Arial" w:hAnsi="Arial"/>
                <w:sz w:val="24"/>
                <w:szCs w:val="24"/>
              </w:rPr>
              <w:t>En coordinación con la MARITGOBAYS y objeto regularizar observación, remitir el procedimiento establecido para la entrega material de una CC.MM. o CC.AA., para cuando se trate de playa y/o terreno de playa y porción de agua o fondo de mar, río o lago, en el cual se pueda comprobar que los vértices son los que estipula el Decreto de otorgamiento; informando fecha y documento por el cual se regulariza esta observación.</w:t>
            </w:r>
          </w:p>
        </w:tc>
        <w:tc>
          <w:tcPr>
            <w:tcW w:w="4255" w:type="dxa"/>
            <w:tcBorders/>
          </w:tcPr>
          <w:p>
            <w:pPr>
              <w:pStyle w:val="ListParagraph"/>
              <w:spacing w:lineRule="auto" w:line="240" w:before="0" w:after="0"/>
              <w:ind w:left="0" w:hanging="0"/>
              <w:contextualSpacing/>
              <w:jc w:val="both"/>
              <w:rPr>
                <w:rFonts w:ascii="Arial" w:hAnsi="Arial" w:cs="Arial"/>
                <w:sz w:val="24"/>
                <w:szCs w:val="24"/>
              </w:rPr>
            </w:pPr>
            <w:r>
              <w:rPr>
                <w:rFonts w:cs="Arial" w:ascii="Arial" w:hAnsi="Arial"/>
                <w:sz w:val="24"/>
                <w:szCs w:val="24"/>
              </w:rPr>
              <w:t>Se actualizó O.P.I N° 623/2021, de fecha 30 de Junio de 2021, la cual establece el procedimiento, para la entrega material de una Concesión Marítima y Concesión de Acuicultura de uso GPS, objeto corroborar posición  geodésica de acuerdo a los puntos del decreto de otorgamiento.</w:t>
            </w:r>
          </w:p>
          <w:p>
            <w:pPr>
              <w:pStyle w:val="ListParagraph"/>
              <w:tabs>
                <w:tab w:val="clear" w:pos="708"/>
                <w:tab w:val="left" w:pos="312" w:leader="none"/>
              </w:tabs>
              <w:spacing w:lineRule="auto" w:line="240" w:before="0" w:after="0"/>
              <w:ind w:left="173" w:hanging="0"/>
              <w:contextualSpacing/>
              <w:jc w:val="both"/>
              <w:rPr>
                <w:rFonts w:ascii="Arial" w:hAnsi="Arial" w:cs="Arial"/>
                <w:sz w:val="24"/>
                <w:szCs w:val="24"/>
              </w:rPr>
            </w:pPr>
            <w:r>
              <w:rPr>
                <w:rFonts w:cs="Arial" w:ascii="Arial" w:hAnsi="Arial"/>
                <w:sz w:val="24"/>
                <w:szCs w:val="24"/>
              </w:rPr>
            </w:r>
          </w:p>
        </w:tc>
        <w:tc>
          <w:tcPr>
            <w:tcW w:w="2408" w:type="dxa"/>
            <w:tcBorders/>
            <w:vAlign w:val="center"/>
          </w:tcPr>
          <w:p>
            <w:pPr>
              <w:pStyle w:val="Normal"/>
              <w:spacing w:lineRule="auto" w:line="240" w:before="0" w:after="0"/>
              <w:jc w:val="center"/>
              <w:rPr>
                <w:rFonts w:ascii="Arial" w:hAnsi="Arial" w:cs="Arial"/>
                <w:b/>
                <w:b/>
                <w:sz w:val="24"/>
                <w:szCs w:val="24"/>
              </w:rPr>
            </w:pPr>
            <w:r>
              <w:rPr>
                <w:rFonts w:cs="Arial" w:ascii="Arial" w:hAnsi="Arial"/>
                <w:b/>
                <w:sz w:val="24"/>
                <w:szCs w:val="24"/>
              </w:rPr>
              <w:t>SUPERADA</w:t>
            </w:r>
          </w:p>
        </w:tc>
        <w:tc>
          <w:tcPr>
            <w:tcW w:w="2170" w:type="dxa"/>
            <w:tcBorders/>
          </w:tcPr>
          <w:p>
            <w:pPr>
              <w:pStyle w:val="Normal"/>
              <w:spacing w:lineRule="auto" w:line="240" w:before="0" w:after="0"/>
              <w:jc w:val="center"/>
              <w:rPr>
                <w:rFonts w:ascii="Arial" w:hAnsi="Arial" w:cs="Arial"/>
                <w:b/>
                <w:b/>
                <w:sz w:val="24"/>
                <w:szCs w:val="24"/>
              </w:rPr>
            </w:pPr>
            <w:r>
              <w:rPr>
                <w:rFonts w:cs="Arial" w:ascii="Arial" w:hAnsi="Arial"/>
                <w:b/>
                <w:sz w:val="24"/>
                <w:szCs w:val="24"/>
              </w:rPr>
            </w:r>
          </w:p>
        </w:tc>
      </w:tr>
    </w:tbl>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tbl>
      <w:tblPr>
        <w:tblStyle w:val="Tablaconcuadrcula"/>
        <w:tblW w:w="17890" w:type="dxa"/>
        <w:jc w:val="center"/>
        <w:tblInd w:w="0" w:type="dxa"/>
        <w:tblCellMar>
          <w:top w:w="0" w:type="dxa"/>
          <w:left w:w="108" w:type="dxa"/>
          <w:bottom w:w="0" w:type="dxa"/>
          <w:right w:w="108" w:type="dxa"/>
        </w:tblCellMar>
        <w:tblLook w:firstRow="1" w:noVBand="1" w:lastRow="0" w:firstColumn="1" w:lastColumn="0" w:noHBand="0" w:val="04a0"/>
      </w:tblPr>
      <w:tblGrid>
        <w:gridCol w:w="608"/>
        <w:gridCol w:w="2379"/>
        <w:gridCol w:w="3260"/>
        <w:gridCol w:w="3402"/>
        <w:gridCol w:w="3686"/>
        <w:gridCol w:w="2409"/>
        <w:gridCol w:w="2145"/>
      </w:tblGrid>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37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6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40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68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9"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4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744" w:type="dxa"/>
            <w:gridSpan w:val="6"/>
            <w:tcBorders/>
            <w:shd w:color="auto" w:fill="auto" w:val="clear"/>
          </w:tcPr>
          <w:p>
            <w:pPr>
              <w:pStyle w:val="Normal"/>
              <w:spacing w:lineRule="auto" w:line="240" w:before="0" w:after="0"/>
              <w:jc w:val="both"/>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p>
            <w:pPr>
              <w:pStyle w:val="Normal"/>
              <w:spacing w:lineRule="auto" w:line="240" w:before="0" w:after="0"/>
              <w:jc w:val="both"/>
              <w:rPr>
                <w:rFonts w:ascii="Arial" w:hAnsi="Arial" w:cs="Arial"/>
                <w:b/>
                <w:b/>
                <w:sz w:val="16"/>
                <w:szCs w:val="16"/>
                <w:lang w:val="es-MX"/>
              </w:rPr>
            </w:pPr>
            <w:r>
              <w:rPr>
                <w:rFonts w:cs="Arial" w:ascii="Arial" w:hAnsi="Arial"/>
                <w:b/>
                <w:sz w:val="24"/>
                <w:szCs w:val="24"/>
              </w:rPr>
              <w:t>División de Registro e Inspecciones de Naves y Artefactos Navales Menores</w:t>
            </w:r>
            <w:r>
              <w:rPr>
                <w:rFonts w:eastAsia="Times New Roman" w:cs="Arial" w:ascii="Arial" w:hAnsi="Arial"/>
                <w:b/>
                <w:bCs/>
                <w:sz w:val="24"/>
                <w:szCs w:val="24"/>
                <w:lang w:val="es-MX" w:eastAsia="es-CL"/>
              </w:rPr>
              <w:t>.</w:t>
            </w:r>
          </w:p>
        </w:tc>
        <w:tc>
          <w:tcPr>
            <w:tcW w:w="2145" w:type="dxa"/>
            <w:tcBorders/>
          </w:tcPr>
          <w:p>
            <w:pPr>
              <w:pStyle w:val="Normal"/>
              <w:spacing w:lineRule="auto" w:line="240" w:before="0" w:after="0"/>
              <w:jc w:val="both"/>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tc>
      </w:tr>
      <w:tr>
        <w:trPr>
          <w:tblHeader w:val="true"/>
          <w:trHeight w:val="580" w:hRule="atLeast"/>
        </w:trPr>
        <w:tc>
          <w:tcPr>
            <w:tcW w:w="608"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a)</w:t>
            </w:r>
          </w:p>
        </w:tc>
        <w:tc>
          <w:tcPr>
            <w:tcW w:w="2379"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Se evidenció discrepancias entre la cantidad de naves inscritas versus lo que muestra el “catálogo de naves menores en intranet”, de acuerdo a lo siguiente: Operativas: 96 (en catálogo 94) – Inoperativas: 97 (en catálogo 85) – De baja: 138 (en catálogo 141) – De baja por inavegabilidad absoluta: 840 (en catálogo 858) – Total naves inscritas: 1171 (en catálogo 1178) </w:t>
            </w:r>
          </w:p>
        </w:tc>
        <w:tc>
          <w:tcPr>
            <w:tcW w:w="3260" w:type="dxa"/>
            <w:tcBorders/>
          </w:tcPr>
          <w:p>
            <w:pPr>
              <w:pStyle w:val="Normal"/>
              <w:spacing w:lineRule="auto" w:line="240" w:before="0" w:after="0"/>
              <w:jc w:val="both"/>
              <w:rPr>
                <w:rFonts w:ascii="Arial" w:hAnsi="Arial" w:cs="Arial"/>
                <w:sz w:val="24"/>
                <w:szCs w:val="24"/>
              </w:rPr>
            </w:pPr>
            <w:r>
              <w:rPr>
                <w:rFonts w:cs="Arial" w:ascii="Arial" w:hAnsi="Arial"/>
                <w:sz w:val="24"/>
                <w:szCs w:val="24"/>
              </w:rPr>
              <w:t>D.S. (M) N˚ 163, de fecha 2 de febrero de 1981, Aprueba el Reglamento del registro de naves y artefactos navales.</w:t>
            </w:r>
          </w:p>
        </w:tc>
        <w:tc>
          <w:tcPr>
            <w:tcW w:w="3402" w:type="dxa"/>
            <w:tcBorders/>
            <w:shd w:color="auto" w:fill="auto" w:val="clear"/>
          </w:tcPr>
          <w:p>
            <w:pPr>
              <w:pStyle w:val="ListParagraph"/>
              <w:numPr>
                <w:ilvl w:val="0"/>
                <w:numId w:val="19"/>
              </w:numPr>
              <w:spacing w:lineRule="auto" w:line="240" w:before="0" w:after="0"/>
              <w:ind w:left="459" w:hanging="426"/>
              <w:contextualSpacing/>
              <w:jc w:val="both"/>
              <w:rPr>
                <w:rFonts w:ascii="Arial" w:hAnsi="Arial" w:cs="Arial"/>
                <w:sz w:val="24"/>
                <w:szCs w:val="24"/>
              </w:rPr>
            </w:pPr>
            <w:r>
              <w:rPr>
                <w:rFonts w:cs="Arial" w:ascii="Arial" w:hAnsi="Arial"/>
                <w:sz w:val="24"/>
                <w:szCs w:val="24"/>
              </w:rPr>
              <w:t>Efectuar revisión y corrección de cifras entregadas, debiendo ser las mismas que figuran en el catálogo de naves menores en intranet, las que tiene bajo su control el encargado y las naves inscritas en los Libros de Registro de Naves Menores, informando las cantidades reales para regularizar esta observación.</w:t>
            </w:r>
          </w:p>
          <w:p>
            <w:pPr>
              <w:pStyle w:val="ListParagraph"/>
              <w:numPr>
                <w:ilvl w:val="0"/>
                <w:numId w:val="19"/>
              </w:numPr>
              <w:spacing w:lineRule="auto" w:line="240" w:before="0" w:after="0"/>
              <w:ind w:left="459" w:hanging="426"/>
              <w:contextualSpacing/>
              <w:jc w:val="both"/>
              <w:rPr>
                <w:rFonts w:ascii="Arial" w:hAnsi="Arial" w:cs="Arial"/>
                <w:sz w:val="24"/>
                <w:szCs w:val="24"/>
              </w:rPr>
            </w:pPr>
            <w:r>
              <w:rPr>
                <w:rFonts w:cs="Arial" w:ascii="Arial" w:hAnsi="Arial"/>
                <w:sz w:val="24"/>
                <w:szCs w:val="24"/>
              </w:rPr>
              <w:t>Investigar el motivo de la discrepancia en la cantidad de naves inscritas, e informar motivos de la ocurrencia de esta observación.</w:t>
            </w:r>
          </w:p>
          <w:p>
            <w:pPr>
              <w:pStyle w:val="ListParagraph"/>
              <w:spacing w:lineRule="auto" w:line="240" w:before="0" w:after="0"/>
              <w:ind w:left="459" w:hanging="0"/>
              <w:contextualSpacing/>
              <w:jc w:val="both"/>
              <w:rPr>
                <w:rFonts w:ascii="Arial" w:hAnsi="Arial" w:cs="Arial"/>
                <w:sz w:val="24"/>
                <w:szCs w:val="24"/>
              </w:rPr>
            </w:pPr>
            <w:r>
              <w:rPr>
                <w:rFonts w:cs="Arial" w:ascii="Arial" w:hAnsi="Arial"/>
                <w:sz w:val="24"/>
                <w:szCs w:val="24"/>
              </w:rPr>
            </w:r>
          </w:p>
        </w:tc>
        <w:tc>
          <w:tcPr>
            <w:tcW w:w="3686" w:type="dxa"/>
            <w:tcBorders/>
          </w:tcPr>
          <w:p>
            <w:pPr>
              <w:pStyle w:val="ListParagraph"/>
              <w:numPr>
                <w:ilvl w:val="1"/>
                <w:numId w:val="20"/>
              </w:numPr>
              <w:spacing w:lineRule="auto" w:line="240" w:before="0" w:after="0"/>
              <w:ind w:left="318" w:hanging="318"/>
              <w:contextualSpacing/>
              <w:jc w:val="both"/>
              <w:rPr>
                <w:rFonts w:ascii="Arial" w:hAnsi="Arial" w:cs="Arial"/>
                <w:sz w:val="24"/>
                <w:szCs w:val="24"/>
                <w:lang w:val="es-MX"/>
              </w:rPr>
            </w:pPr>
            <w:r>
              <w:rPr>
                <w:rFonts w:cs="Arial" w:ascii="Arial" w:hAnsi="Arial"/>
                <w:sz w:val="24"/>
                <w:szCs w:val="24"/>
                <w:lang w:val="es-MX"/>
              </w:rPr>
              <w:t>Se verificó el estado de las embarcaciones:</w:t>
            </w:r>
          </w:p>
          <w:p>
            <w:pPr>
              <w:pStyle w:val="ListParagraph"/>
              <w:numPr>
                <w:ilvl w:val="2"/>
                <w:numId w:val="21"/>
              </w:numPr>
              <w:spacing w:lineRule="auto" w:line="240" w:before="0" w:after="0"/>
              <w:ind w:left="601" w:hanging="283"/>
              <w:contextualSpacing/>
              <w:jc w:val="both"/>
              <w:rPr>
                <w:rFonts w:ascii="Arial" w:hAnsi="Arial" w:cs="Arial"/>
                <w:sz w:val="24"/>
                <w:szCs w:val="24"/>
                <w:lang w:val="es-MX"/>
              </w:rPr>
            </w:pPr>
            <w:r>
              <w:rPr>
                <w:rFonts w:cs="Arial" w:ascii="Arial" w:hAnsi="Arial"/>
                <w:sz w:val="24"/>
                <w:szCs w:val="24"/>
                <w:lang w:val="es-MX"/>
              </w:rPr>
              <w:t>Operativas.</w:t>
            </w:r>
          </w:p>
          <w:p>
            <w:pPr>
              <w:pStyle w:val="ListParagraph"/>
              <w:numPr>
                <w:ilvl w:val="2"/>
                <w:numId w:val="21"/>
              </w:numPr>
              <w:spacing w:lineRule="auto" w:line="240" w:before="0" w:after="0"/>
              <w:ind w:left="601" w:hanging="283"/>
              <w:contextualSpacing/>
              <w:jc w:val="both"/>
              <w:rPr>
                <w:rFonts w:ascii="Arial" w:hAnsi="Arial" w:cs="Arial"/>
                <w:sz w:val="24"/>
                <w:szCs w:val="24"/>
                <w:lang w:val="es-MX"/>
              </w:rPr>
            </w:pPr>
            <w:r>
              <w:rPr>
                <w:rFonts w:cs="Arial" w:ascii="Arial" w:hAnsi="Arial"/>
                <w:sz w:val="24"/>
                <w:szCs w:val="24"/>
                <w:lang w:val="es-MX"/>
              </w:rPr>
              <w:t>Inoperativas.</w:t>
            </w:r>
          </w:p>
          <w:p>
            <w:pPr>
              <w:pStyle w:val="ListParagraph"/>
              <w:numPr>
                <w:ilvl w:val="2"/>
                <w:numId w:val="21"/>
              </w:numPr>
              <w:spacing w:lineRule="auto" w:line="240" w:before="0" w:after="0"/>
              <w:ind w:left="601" w:hanging="283"/>
              <w:contextualSpacing/>
              <w:jc w:val="both"/>
              <w:rPr>
                <w:rFonts w:ascii="Arial" w:hAnsi="Arial" w:cs="Arial"/>
                <w:sz w:val="24"/>
                <w:szCs w:val="24"/>
                <w:lang w:val="es-MX"/>
              </w:rPr>
            </w:pPr>
            <w:r>
              <w:rPr>
                <w:rFonts w:cs="Arial" w:ascii="Arial" w:hAnsi="Arial"/>
                <w:sz w:val="24"/>
                <w:szCs w:val="24"/>
                <w:lang w:val="es-MX"/>
              </w:rPr>
              <w:t>In-navegabilidad absoluta.</w:t>
            </w:r>
          </w:p>
          <w:p>
            <w:pPr>
              <w:pStyle w:val="ListParagraph"/>
              <w:numPr>
                <w:ilvl w:val="0"/>
                <w:numId w:val="20"/>
              </w:numPr>
              <w:spacing w:lineRule="auto" w:line="240" w:before="0" w:after="0"/>
              <w:ind w:left="318" w:hanging="318"/>
              <w:contextualSpacing/>
              <w:jc w:val="both"/>
              <w:rPr>
                <w:rFonts w:ascii="Arial" w:hAnsi="Arial" w:cs="Arial"/>
                <w:sz w:val="24"/>
                <w:szCs w:val="24"/>
                <w:lang w:val="es-MX"/>
              </w:rPr>
            </w:pPr>
            <w:r>
              <w:rPr>
                <w:rFonts w:cs="Arial" w:ascii="Arial" w:hAnsi="Arial"/>
                <w:sz w:val="24"/>
                <w:szCs w:val="24"/>
                <w:lang w:val="es-MX"/>
              </w:rPr>
              <w:t>Efectuando corrección de datos  embarcaciones menores registradas en el repertorio de EE.MM. de la Capitanía de Puerto de Puerto Aguirre, versus Sistema intranet (naves Menores y Sistema de Búsqueda de EE.MM.).</w:t>
            </w:r>
          </w:p>
          <w:p>
            <w:pPr>
              <w:pStyle w:val="ListParagraph"/>
              <w:numPr>
                <w:ilvl w:val="0"/>
                <w:numId w:val="20"/>
              </w:numPr>
              <w:spacing w:lineRule="auto" w:line="240" w:before="0" w:after="0"/>
              <w:ind w:left="318" w:hanging="318"/>
              <w:contextualSpacing/>
              <w:jc w:val="both"/>
              <w:rPr>
                <w:rFonts w:ascii="Arial" w:hAnsi="Arial" w:cs="Arial"/>
                <w:sz w:val="24"/>
                <w:szCs w:val="24"/>
                <w:lang w:val="es-MX"/>
              </w:rPr>
            </w:pPr>
            <w:r>
              <w:rPr>
                <w:rFonts w:cs="Arial" w:ascii="Arial" w:hAnsi="Arial"/>
                <w:sz w:val="24"/>
                <w:szCs w:val="24"/>
                <w:lang w:val="es-MX"/>
              </w:rPr>
              <w:t xml:space="preserve">Se efectuó  notificación  a través de carta C.P. AGU. Nº 12600/19, de fecha 29 de junio de 2021,  informando a los   armadores de EE.MM que deberán  efectuar regularización de sus embarcaciones que se encuentran vencidas mayor a 3 años a contar 1 de enero de 2022. Según el art. 63°, del Reglamento de Registro de Naves y Artefactos Navales. </w:t>
            </w:r>
          </w:p>
          <w:p>
            <w:pPr>
              <w:pStyle w:val="ListParagraph"/>
              <w:spacing w:lineRule="auto" w:line="240" w:before="0" w:after="0"/>
              <w:ind w:left="318" w:hanging="0"/>
              <w:contextualSpacing/>
              <w:jc w:val="both"/>
              <w:rPr>
                <w:rFonts w:ascii="Arial" w:hAnsi="Arial" w:cs="Arial"/>
                <w:sz w:val="24"/>
                <w:szCs w:val="24"/>
                <w:lang w:val="es-MX"/>
              </w:rPr>
            </w:pPr>
            <w:r>
              <w:rPr>
                <w:rFonts w:cs="Arial" w:ascii="Arial" w:hAnsi="Arial"/>
                <w:sz w:val="24"/>
                <w:szCs w:val="24"/>
                <w:lang w:val="es-MX"/>
              </w:rPr>
            </w:r>
          </w:p>
        </w:tc>
        <w:tc>
          <w:tcPr>
            <w:tcW w:w="240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45"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37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26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40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68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9"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4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08"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379"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Se evidenció que, existen discrepancias en el registro de propiedad entre el Libro de Registro de Naves Menores, Certificado de navegabilidad y Aplicación Sistema de Naves Menores. Ejemplo: </w:t>
            </w:r>
          </w:p>
          <w:p>
            <w:pPr>
              <w:pStyle w:val="Normal"/>
              <w:spacing w:lineRule="auto" w:line="240" w:before="0" w:after="0"/>
              <w:jc w:val="both"/>
              <w:rPr>
                <w:rFonts w:ascii="Arial" w:hAnsi="Arial" w:cs="Arial"/>
                <w:sz w:val="24"/>
                <w:szCs w:val="24"/>
              </w:rPr>
            </w:pPr>
            <w:r>
              <w:rPr>
                <w:rFonts w:cs="Arial" w:ascii="Arial" w:hAnsi="Arial"/>
                <w:sz w:val="24"/>
                <w:szCs w:val="24"/>
              </w:rPr>
              <w:t>Embarcación Menor “El Samuray”, AGU-436, datos del propietario:</w:t>
            </w:r>
          </w:p>
          <w:p>
            <w:pPr>
              <w:pStyle w:val="ListParagraph"/>
              <w:numPr>
                <w:ilvl w:val="0"/>
                <w:numId w:val="24"/>
              </w:numPr>
              <w:spacing w:lineRule="auto" w:line="240" w:before="0" w:after="0"/>
              <w:ind w:left="317" w:hanging="317"/>
              <w:contextualSpacing/>
              <w:jc w:val="both"/>
              <w:rPr>
                <w:rFonts w:ascii="Arial" w:hAnsi="Arial" w:cs="Arial"/>
                <w:sz w:val="24"/>
                <w:szCs w:val="24"/>
              </w:rPr>
            </w:pPr>
            <w:r>
              <w:rPr>
                <w:rFonts w:cs="Arial" w:ascii="Arial" w:hAnsi="Arial"/>
                <w:sz w:val="24"/>
                <w:szCs w:val="24"/>
              </w:rPr>
              <w:t>Libro Registro de Naves: Juan Aro Barría.</w:t>
            </w:r>
          </w:p>
          <w:p>
            <w:pPr>
              <w:pStyle w:val="ListParagraph"/>
              <w:numPr>
                <w:ilvl w:val="0"/>
                <w:numId w:val="24"/>
              </w:numPr>
              <w:spacing w:lineRule="auto" w:line="240" w:before="0" w:after="0"/>
              <w:ind w:left="317" w:hanging="317"/>
              <w:contextualSpacing/>
              <w:jc w:val="both"/>
              <w:rPr>
                <w:rFonts w:ascii="Arial" w:hAnsi="Arial" w:cs="Arial"/>
                <w:sz w:val="24"/>
                <w:szCs w:val="24"/>
              </w:rPr>
            </w:pPr>
            <w:r>
              <w:rPr>
                <w:rFonts w:cs="Arial" w:ascii="Arial" w:hAnsi="Arial"/>
                <w:sz w:val="24"/>
                <w:szCs w:val="24"/>
              </w:rPr>
              <w:t xml:space="preserve">Último Certificado de Navegabilidad y Aplicación Sistema de Naves Menores: Samuel CÁRDENAS Chiguay. </w:t>
            </w:r>
          </w:p>
        </w:tc>
        <w:tc>
          <w:tcPr>
            <w:tcW w:w="3260"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D.S. (M) N˚ 163, de fecha 02 de febrero de 1981, Aprueba el Reglamento del registro de naves y artefactos navales. </w:t>
            </w:r>
          </w:p>
        </w:tc>
        <w:tc>
          <w:tcPr>
            <w:tcW w:w="3402" w:type="dxa"/>
            <w:tcBorders/>
          </w:tcPr>
          <w:p>
            <w:pPr>
              <w:pStyle w:val="ListParagraph"/>
              <w:numPr>
                <w:ilvl w:val="0"/>
                <w:numId w:val="22"/>
              </w:numPr>
              <w:spacing w:lineRule="auto" w:line="240" w:before="0" w:after="0"/>
              <w:ind w:left="459" w:hanging="426"/>
              <w:contextualSpacing/>
              <w:jc w:val="both"/>
              <w:rPr>
                <w:rFonts w:ascii="Arial" w:hAnsi="Arial" w:cs="Arial"/>
                <w:sz w:val="24"/>
                <w:szCs w:val="24"/>
              </w:rPr>
            </w:pPr>
            <w:r>
              <w:rPr>
                <w:rFonts w:cs="Arial" w:ascii="Arial" w:hAnsi="Arial"/>
                <w:sz w:val="24"/>
                <w:szCs w:val="24"/>
              </w:rPr>
              <w:t>Efectuar revisión y comprobación entre los Libros de Registro de Naves Menores y aplicación Sistema de Naves Menores de las 94 naves operativas y de las 141 naves de baja, que figuran en el catálogo de naves menores de la página Intranet – DIRECTEMAR, objeto  verificar que los datos ingresados en la aplicación sean los mismos que están registrados en el Libro (tener presente que el libro es el que nutre a la aplicación, no al revés), informando la fecha con que se regularizó esta observación.</w:t>
            </w:r>
          </w:p>
          <w:p>
            <w:pPr>
              <w:pStyle w:val="ListParagraph"/>
              <w:numPr>
                <w:ilvl w:val="0"/>
                <w:numId w:val="22"/>
              </w:numPr>
              <w:spacing w:lineRule="auto" w:line="240" w:before="0" w:after="0"/>
              <w:ind w:left="459" w:hanging="426"/>
              <w:contextualSpacing/>
              <w:jc w:val="both"/>
              <w:rPr>
                <w:rFonts w:ascii="Arial" w:hAnsi="Arial" w:cs="Arial"/>
                <w:sz w:val="24"/>
                <w:szCs w:val="24"/>
              </w:rPr>
            </w:pPr>
            <w:r>
              <w:rPr>
                <w:rFonts w:cs="Arial" w:ascii="Arial" w:hAnsi="Arial"/>
                <w:sz w:val="24"/>
                <w:szCs w:val="24"/>
              </w:rPr>
              <w:t>Investigar el origen de estas discrepancias, informando las responsabilidades de los involucrados.</w:t>
            </w:r>
          </w:p>
        </w:tc>
        <w:tc>
          <w:tcPr>
            <w:tcW w:w="3686" w:type="dxa"/>
            <w:tcBorders/>
          </w:tcPr>
          <w:p>
            <w:pPr>
              <w:pStyle w:val="ListParagraph"/>
              <w:numPr>
                <w:ilvl w:val="0"/>
                <w:numId w:val="23"/>
              </w:numPr>
              <w:spacing w:lineRule="auto" w:line="240" w:before="0" w:after="0"/>
              <w:ind w:left="459" w:hanging="459"/>
              <w:contextualSpacing/>
              <w:jc w:val="both"/>
              <w:rPr>
                <w:rFonts w:ascii="Arial" w:hAnsi="Arial" w:cs="Arial"/>
                <w:sz w:val="24"/>
                <w:szCs w:val="24"/>
                <w:lang w:val="es-MX"/>
              </w:rPr>
            </w:pPr>
            <w:r>
              <w:rPr>
                <w:rFonts w:cs="Arial" w:ascii="Arial" w:hAnsi="Arial"/>
                <w:sz w:val="24"/>
                <w:szCs w:val="24"/>
                <w:lang w:val="es-MX"/>
              </w:rPr>
              <w:t>Se verificó la totalidad de registros de EE.MM. en el repertorio de naves menores inscritas en la jurisdicción de la Capitanía de Puerto de  Puerto Aguirre, efectuando corrección en: datos de propietario y registros de motores,  aplicación intranet en comparación de libro repertorio naves menores, regularizando observación.</w:t>
            </w:r>
          </w:p>
          <w:p>
            <w:pPr>
              <w:pStyle w:val="ListParagraph"/>
              <w:numPr>
                <w:ilvl w:val="0"/>
                <w:numId w:val="23"/>
              </w:numPr>
              <w:spacing w:lineRule="auto" w:line="240" w:before="0" w:after="0"/>
              <w:ind w:left="459" w:hanging="459"/>
              <w:contextualSpacing/>
              <w:jc w:val="both"/>
              <w:rPr>
                <w:rFonts w:ascii="Arial" w:hAnsi="Arial" w:cs="Arial"/>
                <w:sz w:val="24"/>
                <w:szCs w:val="24"/>
                <w:lang w:val="es-MX"/>
              </w:rPr>
            </w:pPr>
            <w:r>
              <w:rPr>
                <w:rFonts w:cs="Arial" w:ascii="Arial" w:hAnsi="Arial"/>
                <w:sz w:val="24"/>
                <w:szCs w:val="24"/>
                <w:lang w:val="es-MX"/>
              </w:rPr>
              <w:t>El motivo de la discrepancia se debe a la poca experiencia y falta de acuosidad  correspondiente en las entregas de cargo división registro e inspecciones de naves y artefactos navales menores de nuestra Capitanía de Puerto.</w:t>
            </w:r>
          </w:p>
        </w:tc>
        <w:tc>
          <w:tcPr>
            <w:tcW w:w="240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45"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lineRule="auto" w:line="240" w:before="0" w:after="0"/>
        <w:rPr>
          <w:rFonts w:ascii="Arial" w:hAnsi="Arial" w:cs="Arial"/>
          <w:b/>
          <w:b/>
          <w:sz w:val="24"/>
          <w:szCs w:val="24"/>
          <w:u w:val="single"/>
        </w:rPr>
      </w:pPr>
      <w:r>
        <w:rPr>
          <w:rFonts w:cs="Arial" w:ascii="Arial" w:hAnsi="Arial"/>
          <w:b/>
          <w:sz w:val="24"/>
          <w:szCs w:val="24"/>
          <w:u w:val="single"/>
        </w:rPr>
      </w:r>
    </w:p>
    <w:p>
      <w:pPr>
        <w:pStyle w:val="Normal"/>
        <w:spacing w:lineRule="auto" w:line="240" w:before="0" w:after="0"/>
        <w:rPr>
          <w:rFonts w:ascii="Arial" w:hAnsi="Arial" w:cs="Arial"/>
          <w:b/>
          <w:b/>
          <w:sz w:val="24"/>
          <w:szCs w:val="24"/>
          <w:u w:val="single"/>
        </w:rPr>
      </w:pPr>
      <w:r>
        <w:rPr>
          <w:rFonts w:cs="Arial" w:ascii="Arial" w:hAnsi="Arial"/>
          <w:b/>
          <w:sz w:val="24"/>
          <w:szCs w:val="24"/>
          <w:u w:val="single"/>
        </w:rPr>
      </w:r>
    </w:p>
    <w:p>
      <w:pPr>
        <w:pStyle w:val="Normal"/>
        <w:spacing w:lineRule="auto" w:line="240" w:before="0" w:after="0"/>
        <w:rPr>
          <w:rFonts w:ascii="Arial" w:hAnsi="Arial" w:cs="Arial"/>
          <w:b/>
          <w:b/>
          <w:sz w:val="24"/>
          <w:szCs w:val="24"/>
          <w:u w:val="single"/>
        </w:rPr>
      </w:pPr>
      <w:r>
        <w:rPr>
          <w:rFonts w:cs="Arial" w:ascii="Arial" w:hAnsi="Arial"/>
          <w:b/>
          <w:sz w:val="24"/>
          <w:szCs w:val="24"/>
          <w:u w:val="single"/>
        </w:rPr>
      </w:r>
    </w:p>
    <w:p>
      <w:pPr>
        <w:pStyle w:val="Normal"/>
        <w:spacing w:lineRule="auto" w:line="240" w:before="0" w:after="0"/>
        <w:rPr>
          <w:rFonts w:ascii="Arial" w:hAnsi="Arial" w:cs="Arial"/>
          <w:b/>
          <w:b/>
          <w:sz w:val="24"/>
          <w:szCs w:val="24"/>
          <w:u w:val="single"/>
        </w:rPr>
      </w:pPr>
      <w:r>
        <w:rPr>
          <w:rFonts w:cs="Arial" w:ascii="Arial" w:hAnsi="Arial"/>
          <w:b/>
          <w:sz w:val="24"/>
          <w:szCs w:val="24"/>
          <w:u w:val="single"/>
        </w:rPr>
      </w:r>
    </w:p>
    <w:p>
      <w:pPr>
        <w:pStyle w:val="Normal"/>
        <w:spacing w:lineRule="auto" w:line="240" w:before="0" w:after="0"/>
        <w:rPr>
          <w:rFonts w:ascii="Arial" w:hAnsi="Arial" w:cs="Arial"/>
          <w:b/>
          <w:b/>
          <w:sz w:val="24"/>
          <w:szCs w:val="24"/>
          <w:u w:val="single"/>
        </w:rPr>
      </w:pPr>
      <w:r>
        <w:rPr>
          <w:rFonts w:cs="Arial" w:ascii="Arial" w:hAnsi="Arial"/>
          <w:b/>
          <w:sz w:val="24"/>
          <w:szCs w:val="24"/>
          <w:u w:val="single"/>
        </w:rPr>
      </w:r>
    </w:p>
    <w:p>
      <w:pPr>
        <w:pStyle w:val="Normal"/>
        <w:spacing w:lineRule="auto" w:line="240" w:before="0" w:after="0"/>
        <w:rPr>
          <w:rFonts w:ascii="Arial" w:hAnsi="Arial" w:cs="Arial"/>
          <w:b/>
          <w:b/>
          <w:sz w:val="24"/>
          <w:szCs w:val="24"/>
          <w:u w:val="single"/>
        </w:rPr>
      </w:pPr>
      <w:r>
        <w:rPr>
          <w:rFonts w:cs="Arial" w:ascii="Arial" w:hAnsi="Arial"/>
          <w:b/>
          <w:sz w:val="24"/>
          <w:szCs w:val="24"/>
          <w:u w:val="single"/>
        </w:rPr>
      </w:r>
    </w:p>
    <w:p>
      <w:pPr>
        <w:pStyle w:val="Normal"/>
        <w:widowControl w:val="false"/>
        <w:spacing w:lineRule="auto" w:line="240" w:before="0" w:after="0"/>
        <w:rPr>
          <w:rFonts w:ascii="Arial" w:hAnsi="Arial" w:cs="Arial"/>
          <w:sz w:val="24"/>
          <w:szCs w:val="24"/>
        </w:rPr>
      </w:pPr>
      <w:r>
        <w:rPr>
          <w:rFonts w:cs="Arial" w:ascii="Arial" w:hAnsi="Arial"/>
          <w:sz w:val="24"/>
          <w:szCs w:val="24"/>
        </w:rPr>
        <w:t>PUERTO AYSÉN, 20 DE DICIEMBRE DE 2021.</w:t>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ind w:left="4248" w:firstLine="708"/>
        <w:jc w:val="center"/>
        <w:rPr>
          <w:rFonts w:ascii="Arial" w:hAnsi="Arial" w:cs="Arial"/>
          <w:sz w:val="24"/>
          <w:szCs w:val="24"/>
        </w:rPr>
      </w:pPr>
      <w:r>
        <w:rPr>
          <w:rFonts w:cs="Arial" w:ascii="Arial" w:hAnsi="Arial"/>
          <w:sz w:val="24"/>
          <w:szCs w:val="24"/>
        </w:rPr>
        <w:t>FIRMADO</w:t>
      </w:r>
    </w:p>
    <w:p>
      <w:pPr>
        <w:pStyle w:val="Normal"/>
        <w:widowControl w:val="false"/>
        <w:spacing w:lineRule="auto" w:line="240" w:before="0" w:after="0"/>
        <w:ind w:left="4248" w:firstLine="708"/>
        <w:jc w:val="center"/>
        <w:rPr>
          <w:rFonts w:ascii="Arial" w:hAnsi="Arial" w:cs="Arial"/>
          <w:sz w:val="24"/>
          <w:szCs w:val="24"/>
        </w:rPr>
      </w:pPr>
      <w:r>
        <w:rPr>
          <w:rFonts w:cs="Arial" w:ascii="Arial" w:hAnsi="Arial"/>
          <w:sz w:val="24"/>
          <w:szCs w:val="24"/>
        </w:rPr>
      </w:r>
    </w:p>
    <w:p>
      <w:pPr>
        <w:pStyle w:val="Normal"/>
        <w:widowControl w:val="false"/>
        <w:spacing w:lineRule="auto" w:line="240" w:before="0" w:after="0"/>
        <w:ind w:left="4248" w:firstLine="708"/>
        <w:jc w:val="center"/>
        <w:rPr>
          <w:rFonts w:ascii="Arial" w:hAnsi="Arial" w:cs="Arial"/>
          <w:sz w:val="24"/>
          <w:szCs w:val="24"/>
        </w:rPr>
      </w:pPr>
      <w:r>
        <w:rPr>
          <w:rFonts w:cs="Arial" w:ascii="Arial" w:hAnsi="Arial"/>
          <w:sz w:val="24"/>
          <w:szCs w:val="24"/>
        </w:rPr>
      </w:r>
      <w:bookmarkStart w:id="0" w:name="_GoBack"/>
      <w:bookmarkStart w:id="1" w:name="_GoBack"/>
      <w:bookmarkEnd w:id="1"/>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FELIPE ZAMBRANO IRRIBARRA</w:t>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CAPITÁN DE CORBETA LT</w:t>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GOBERNADOR MARÍTIMO DE AYSÉN</w:t>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SUPLENTE</w:t>
      </w:r>
    </w:p>
    <w:p>
      <w:pPr>
        <w:pStyle w:val="Normal"/>
        <w:pBdr/>
        <w:spacing w:lineRule="auto" w:line="240" w:before="0" w:after="0"/>
        <w:rPr>
          <w:rFonts w:ascii="Arial" w:hAnsi="Arial" w:eastAsia="Arial" w:cs="Arial"/>
          <w:b/>
          <w:b/>
          <w:sz w:val="24"/>
          <w:szCs w:val="24"/>
        </w:rPr>
      </w:pPr>
      <w:r>
        <w:rPr>
          <w:rFonts w:eastAsia="Arial" w:cs="Arial" w:ascii="Arial" w:hAnsi="Arial"/>
          <w:b/>
          <w:sz w:val="24"/>
          <w:szCs w:val="24"/>
          <w:u w:val="single"/>
        </w:rPr>
        <w:t>DISTRIBUCIÓN</w:t>
      </w:r>
      <w:r>
        <w:rPr>
          <w:rFonts w:eastAsia="Arial" w:cs="Arial" w:ascii="Arial" w:hAnsi="Arial"/>
          <w:b/>
          <w:sz w:val="24"/>
          <w:szCs w:val="24"/>
        </w:rPr>
        <w:t>:</w:t>
      </w:r>
    </w:p>
    <w:p>
      <w:pPr>
        <w:pStyle w:val="Normal"/>
        <w:pBdr/>
        <w:spacing w:lineRule="auto" w:line="240" w:before="0" w:after="0"/>
        <w:rPr>
          <w:rFonts w:ascii="Arial" w:hAnsi="Arial" w:eastAsia="Arial" w:cs="Arial"/>
          <w:sz w:val="24"/>
          <w:szCs w:val="24"/>
          <w:highlight w:val="white"/>
        </w:rPr>
      </w:pPr>
      <w:r>
        <w:rPr>
          <w:rFonts w:eastAsia="Arial" w:cs="Arial" w:ascii="Arial" w:hAnsi="Arial"/>
          <w:sz w:val="24"/>
          <w:szCs w:val="24"/>
        </w:rPr>
        <w:t>Misma Docto. Básico.</w:t>
      </w:r>
    </w:p>
    <w:p>
      <w:pPr>
        <w:pStyle w:val="Normal"/>
        <w:spacing w:lineRule="auto" w:line="240" w:before="0" w:after="0"/>
        <w:rPr>
          <w:rFonts w:ascii="Arial" w:hAnsi="Arial" w:cs="Arial"/>
          <w:b/>
          <w:b/>
          <w:sz w:val="24"/>
          <w:szCs w:val="24"/>
          <w:u w:val="single"/>
        </w:rPr>
      </w:pPr>
      <w:r>
        <w:rPr/>
      </w:r>
    </w:p>
    <w:sectPr>
      <w:headerReference w:type="default" r:id="rId3"/>
      <w:headerReference w:type="first" r:id="rId4"/>
      <w:type w:val="nextPage"/>
      <w:pgSz w:orient="landscape" w:w="18720" w:h="12240"/>
      <w:pgMar w:left="851" w:right="851" w:header="709" w:top="851" w:footer="0" w:bottom="28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Liberation Sans">
    <w:altName w:val="Arial"/>
    <w:charset w:val="00"/>
    <w:family w:val="swiss"/>
    <w:pitch w:val="variable"/>
  </w:font>
  <w:font w:name="Arial Unicode MS">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593708418"/>
    </w:sdtPr>
    <w:sdtContent>
      <w:p>
        <w:pPr>
          <w:pStyle w:val="Cabecera"/>
          <w:rPr>
            <w:rFonts w:ascii="Arial" w:hAnsi="Arial" w:cs="Arial"/>
            <w:sz w:val="24"/>
            <w:szCs w:val="24"/>
          </w:rPr>
        </w:pPr>
        <w:r>
          <w:rPr>
            <w:rFonts w:cs="Arial" w:ascii="Arial" w:hAnsi="Arial"/>
            <w:sz w:val="24"/>
            <w:szCs w:val="24"/>
          </w:rPr>
          <w:t>G.MAYS. ORDINARIO N° 10510/1372/ D.G.T.M. Y M.M.</w:t>
          <w:tab/>
          <w:tab/>
          <w:t xml:space="preserve">                                                                                              </w:t>
          <w:tab/>
          <w:t xml:space="preserve">HOJA N° </w:t>
        </w:r>
        <w:r>
          <w:rPr>
            <w:rFonts w:cs="Arial" w:ascii="Arial" w:hAnsi="Arial"/>
            <w:sz w:val="24"/>
            <w:szCs w:val="24"/>
          </w:rPr>
          <w:fldChar w:fldCharType="begin"/>
        </w:r>
        <w:r>
          <w:rPr>
            <w:sz w:val="24"/>
            <w:szCs w:val="24"/>
            <w:rFonts w:cs="Arial" w:ascii="Arial" w:hAnsi="Arial"/>
          </w:rPr>
          <w:instrText> PAGE </w:instrText>
        </w:r>
        <w:r>
          <w:rPr>
            <w:sz w:val="24"/>
            <w:szCs w:val="24"/>
            <w:rFonts w:cs="Arial" w:ascii="Arial" w:hAnsi="Arial"/>
          </w:rPr>
          <w:fldChar w:fldCharType="separate"/>
        </w:r>
        <w:r>
          <w:rPr>
            <w:sz w:val="24"/>
            <w:szCs w:val="24"/>
            <w:rFonts w:cs="Arial" w:ascii="Arial" w:hAnsi="Arial"/>
          </w:rPr>
          <w:t>21</w:t>
        </w:r>
        <w:r>
          <w:rPr>
            <w:sz w:val="24"/>
            <w:szCs w:val="24"/>
            <w:rFonts w:cs="Arial" w:ascii="Arial" w:hAnsi="Arial"/>
          </w:rPr>
          <w:fldChar w:fldCharType="end"/>
        </w:r>
      </w:p>
      <w:p>
        <w:pPr>
          <w:pStyle w:val="Cabecera"/>
          <w:rPr>
            <w:rFonts w:ascii="Arial" w:hAnsi="Arial" w:cs="Arial"/>
            <w:sz w:val="24"/>
            <w:szCs w:val="24"/>
          </w:rPr>
        </w:pPr>
        <w:r>
          <w:rPr>
            <w:rFonts w:cs="Arial" w:ascii="Arial" w:hAnsi="Arial"/>
            <w:sz w:val="24"/>
            <w:szCs w:val="24"/>
          </w:rPr>
          <w:t>ANEXO “C”</w:t>
        </w:r>
      </w:p>
      <w:p>
        <w:pPr>
          <w:pStyle w:val="Cabecera"/>
          <w:tabs>
            <w:tab w:val="clear" w:pos="8838"/>
            <w:tab w:val="left" w:pos="4419" w:leader="none"/>
          </w:tabs>
          <w:rPr>
            <w:rFonts w:ascii="Arial" w:hAnsi="Arial" w:cs="Arial"/>
            <w:sz w:val="24"/>
            <w:szCs w:val="24"/>
          </w:rPr>
        </w:pPr>
        <w:r>
          <w:rPr>
            <w:rFonts w:cs="Arial" w:ascii="Arial" w:hAnsi="Arial"/>
            <w:sz w:val="24"/>
            <w:szCs w:val="24"/>
          </w:rPr>
          <w:t>FECHA: 20 DIC. 2021</w:t>
          <w:tab/>
        </w:r>
      </w:p>
    </w:sdtContent>
  </w:sdt>
  <w:p>
    <w:pPr>
      <w:pStyle w:val="Cabecera"/>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366862728"/>
    </w:sdtPr>
    <w:sdtContent>
      <w:p>
        <w:pPr>
          <w:pStyle w:val="Cabecera"/>
          <w:rPr>
            <w:rFonts w:ascii="Arial" w:hAnsi="Arial" w:cs="Arial"/>
            <w:sz w:val="24"/>
            <w:szCs w:val="24"/>
          </w:rPr>
        </w:pPr>
        <w:r>
          <w:rPr>
            <w:rFonts w:cs="Arial" w:ascii="Arial" w:hAnsi="Arial"/>
            <w:sz w:val="24"/>
            <w:szCs w:val="24"/>
          </w:rPr>
          <w:t xml:space="preserve">G.MAYS. ORDINARIO N° 10510/1372/ D.G.T.M. Y M.M.                                                                                                                        </w:t>
          <w:tab/>
          <w:tab/>
          <w:tab/>
          <w:t xml:space="preserve">   HOJA N° </w:t>
        </w:r>
        <w:r>
          <w:rPr>
            <w:rFonts w:cs="Arial" w:ascii="Arial" w:hAnsi="Arial"/>
            <w:sz w:val="24"/>
            <w:szCs w:val="24"/>
          </w:rPr>
          <w:fldChar w:fldCharType="begin"/>
        </w:r>
        <w:r>
          <w:rPr>
            <w:sz w:val="24"/>
            <w:szCs w:val="24"/>
            <w:rFonts w:cs="Arial" w:ascii="Arial" w:hAnsi="Arial"/>
          </w:rPr>
          <w:instrText> PAGE </w:instrText>
        </w:r>
        <w:r>
          <w:rPr>
            <w:sz w:val="24"/>
            <w:szCs w:val="24"/>
            <w:rFonts w:cs="Arial" w:ascii="Arial" w:hAnsi="Arial"/>
          </w:rPr>
          <w:fldChar w:fldCharType="separate"/>
        </w:r>
        <w:r>
          <w:rPr>
            <w:sz w:val="24"/>
            <w:szCs w:val="24"/>
            <w:rFonts w:cs="Arial" w:ascii="Arial" w:hAnsi="Arial"/>
          </w:rPr>
          <w:t>1</w:t>
        </w:r>
        <w:r>
          <w:rPr>
            <w:sz w:val="24"/>
            <w:szCs w:val="24"/>
            <w:rFonts w:cs="Arial" w:ascii="Arial" w:hAnsi="Arial"/>
          </w:rPr>
          <w:fldChar w:fldCharType="end"/>
        </w:r>
      </w:p>
      <w:p>
        <w:pPr>
          <w:pStyle w:val="Cabecera"/>
          <w:rPr>
            <w:rFonts w:ascii="Arial" w:hAnsi="Arial" w:cs="Arial"/>
            <w:sz w:val="24"/>
            <w:szCs w:val="24"/>
          </w:rPr>
        </w:pPr>
        <w:r>
          <w:rPr>
            <w:rFonts w:cs="Arial" w:ascii="Arial" w:hAnsi="Arial"/>
            <w:sz w:val="24"/>
            <w:szCs w:val="24"/>
          </w:rPr>
          <w:t>ANEXO “C”</w:t>
        </w:r>
      </w:p>
      <w:p>
        <w:pPr>
          <w:pStyle w:val="Cabecera"/>
          <w:rPr>
            <w:rFonts w:ascii="Arial" w:hAnsi="Arial" w:cs="Arial"/>
            <w:sz w:val="24"/>
            <w:szCs w:val="24"/>
          </w:rPr>
        </w:pPr>
        <w:r>
          <w:rPr>
            <w:rFonts w:cs="Arial" w:ascii="Arial" w:hAnsi="Arial"/>
            <w:sz w:val="24"/>
            <w:szCs w:val="24"/>
          </w:rPr>
          <w:t>FECHA: 20 DIC. 2021</w:t>
        </w:r>
      </w:p>
    </w:sdtContent>
  </w:sdt>
  <w:p>
    <w:pPr>
      <w:pStyle w:val="Cabecera"/>
      <w:rPr>
        <w:lang w:val="es-MX"/>
      </w:rPr>
    </w:pPr>
    <w:r>
      <w:rPr>
        <w:lang w:val="es-MX"/>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340" w:hanging="360"/>
      </w:pPr>
      <w:rPr>
        <w:rFonts w:ascii="Arial" w:hAnsi="Arial" w:cs="Arial" w:hint="default"/>
        <w:rFonts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lowerLetter"/>
      <w:lvlText w:val="%1.-"/>
      <w:lvlJc w:val="left"/>
      <w:pPr>
        <w:ind w:left="720" w:hanging="360"/>
      </w:pPr>
      <w:rPr>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lowerLetter"/>
      <w:lvlText w:val="%1.-"/>
      <w:lvlJc w:val="left"/>
      <w:pPr>
        <w:ind w:left="755" w:hanging="360"/>
      </w:pPr>
    </w:lvl>
    <w:lvl w:ilvl="1">
      <w:start w:val="1"/>
      <w:numFmt w:val="lowerLetter"/>
      <w:lvlText w:val="%2."/>
      <w:lvlJc w:val="left"/>
      <w:pPr>
        <w:ind w:left="1475" w:hanging="360"/>
      </w:pPr>
    </w:lvl>
    <w:lvl w:ilvl="2">
      <w:start w:val="1"/>
      <w:numFmt w:val="lowerRoman"/>
      <w:lvlText w:val="%3."/>
      <w:lvlJc w:val="right"/>
      <w:pPr>
        <w:ind w:left="2195" w:hanging="180"/>
      </w:pPr>
    </w:lvl>
    <w:lvl w:ilvl="3">
      <w:start w:val="1"/>
      <w:numFmt w:val="decimal"/>
      <w:lvlText w:val="%4."/>
      <w:lvlJc w:val="left"/>
      <w:pPr>
        <w:ind w:left="2915" w:hanging="360"/>
      </w:pPr>
    </w:lvl>
    <w:lvl w:ilvl="4">
      <w:start w:val="1"/>
      <w:numFmt w:val="lowerLetter"/>
      <w:lvlText w:val="%5."/>
      <w:lvlJc w:val="left"/>
      <w:pPr>
        <w:ind w:left="3635" w:hanging="360"/>
      </w:pPr>
    </w:lvl>
    <w:lvl w:ilvl="5">
      <w:start w:val="1"/>
      <w:numFmt w:val="lowerRoman"/>
      <w:lvlText w:val="%6."/>
      <w:lvlJc w:val="right"/>
      <w:pPr>
        <w:ind w:left="4355" w:hanging="180"/>
      </w:pPr>
    </w:lvl>
    <w:lvl w:ilvl="6">
      <w:start w:val="1"/>
      <w:numFmt w:val="decimal"/>
      <w:lvlText w:val="%7."/>
      <w:lvlJc w:val="left"/>
      <w:pPr>
        <w:ind w:left="5075" w:hanging="360"/>
      </w:pPr>
    </w:lvl>
    <w:lvl w:ilvl="7">
      <w:start w:val="1"/>
      <w:numFmt w:val="lowerLetter"/>
      <w:lvlText w:val="%8."/>
      <w:lvlJc w:val="left"/>
      <w:pPr>
        <w:ind w:left="5795" w:hanging="360"/>
      </w:pPr>
    </w:lvl>
    <w:lvl w:ilvl="8">
      <w:start w:val="1"/>
      <w:numFmt w:val="lowerRoman"/>
      <w:lvlText w:val="%9."/>
      <w:lvlJc w:val="right"/>
      <w:pPr>
        <w:ind w:left="6515" w:hanging="180"/>
      </w:pPr>
    </w:lvl>
  </w:abstractNum>
  <w:abstractNum w:abstractNumId="7">
    <w:lvl w:ilvl="0">
      <w:start w:val="1"/>
      <w:numFmt w:val="lowerLetter"/>
      <w:lvlText w:val="%1.-"/>
      <w:lvlJc w:val="left"/>
      <w:pPr>
        <w:ind w:left="393"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113" w:hanging="360"/>
      </w:pPr>
    </w:lvl>
    <w:lvl w:ilvl="2">
      <w:start w:val="1"/>
      <w:numFmt w:val="lowerRoman"/>
      <w:lvlText w:val="%3."/>
      <w:lvlJc w:val="right"/>
      <w:pPr>
        <w:ind w:left="1833" w:hanging="180"/>
      </w:pPr>
    </w:lvl>
    <w:lvl w:ilvl="3">
      <w:start w:val="1"/>
      <w:numFmt w:val="decimal"/>
      <w:lvlText w:val="%4."/>
      <w:lvlJc w:val="left"/>
      <w:pPr>
        <w:ind w:left="2553" w:hanging="360"/>
      </w:pPr>
    </w:lvl>
    <w:lvl w:ilvl="4">
      <w:start w:val="1"/>
      <w:numFmt w:val="lowerLetter"/>
      <w:lvlText w:val="%5."/>
      <w:lvlJc w:val="left"/>
      <w:pPr>
        <w:ind w:left="3273" w:hanging="360"/>
      </w:pPr>
    </w:lvl>
    <w:lvl w:ilvl="5">
      <w:start w:val="1"/>
      <w:numFmt w:val="lowerRoman"/>
      <w:lvlText w:val="%6."/>
      <w:lvlJc w:val="right"/>
      <w:pPr>
        <w:ind w:left="3993" w:hanging="180"/>
      </w:pPr>
    </w:lvl>
    <w:lvl w:ilvl="6">
      <w:start w:val="1"/>
      <w:numFmt w:val="decimal"/>
      <w:lvlText w:val="%7."/>
      <w:lvlJc w:val="left"/>
      <w:pPr>
        <w:ind w:left="4713" w:hanging="360"/>
      </w:pPr>
    </w:lvl>
    <w:lvl w:ilvl="7">
      <w:start w:val="1"/>
      <w:numFmt w:val="lowerLetter"/>
      <w:lvlText w:val="%8."/>
      <w:lvlJc w:val="left"/>
      <w:pPr>
        <w:ind w:left="5433" w:hanging="360"/>
      </w:pPr>
    </w:lvl>
    <w:lvl w:ilvl="8">
      <w:start w:val="1"/>
      <w:numFmt w:val="lowerRoman"/>
      <w:lvlText w:val="%9."/>
      <w:lvlJc w:val="right"/>
      <w:pPr>
        <w:ind w:left="6153" w:hanging="180"/>
      </w:pPr>
    </w:lvl>
  </w:abstractNum>
  <w:abstractNum w:abstractNumI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lowerLetter"/>
      <w:lvlText w:val="%1.-"/>
      <w:lvlJc w:val="left"/>
      <w:pPr>
        <w:ind w:left="392"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112" w:hanging="360"/>
      </w:pPr>
    </w:lvl>
    <w:lvl w:ilvl="2">
      <w:start w:val="1"/>
      <w:numFmt w:val="lowerRoman"/>
      <w:lvlText w:val="%3."/>
      <w:lvlJc w:val="right"/>
      <w:pPr>
        <w:ind w:left="1832" w:hanging="180"/>
      </w:pPr>
    </w:lvl>
    <w:lvl w:ilvl="3">
      <w:start w:val="1"/>
      <w:numFmt w:val="decimal"/>
      <w:lvlText w:val="%4."/>
      <w:lvlJc w:val="left"/>
      <w:pPr>
        <w:ind w:left="2552" w:hanging="360"/>
      </w:pPr>
    </w:lvl>
    <w:lvl w:ilvl="4">
      <w:start w:val="1"/>
      <w:numFmt w:val="lowerLetter"/>
      <w:lvlText w:val="%5."/>
      <w:lvlJc w:val="left"/>
      <w:pPr>
        <w:ind w:left="3272" w:hanging="360"/>
      </w:pPr>
    </w:lvl>
    <w:lvl w:ilvl="5">
      <w:start w:val="1"/>
      <w:numFmt w:val="lowerRoman"/>
      <w:lvlText w:val="%6."/>
      <w:lvlJc w:val="right"/>
      <w:pPr>
        <w:ind w:left="3992" w:hanging="180"/>
      </w:pPr>
    </w:lvl>
    <w:lvl w:ilvl="6">
      <w:start w:val="1"/>
      <w:numFmt w:val="decimal"/>
      <w:lvlText w:val="%7."/>
      <w:lvlJc w:val="left"/>
      <w:pPr>
        <w:ind w:left="4712" w:hanging="360"/>
      </w:pPr>
    </w:lvl>
    <w:lvl w:ilvl="7">
      <w:start w:val="1"/>
      <w:numFmt w:val="lowerLetter"/>
      <w:lvlText w:val="%8."/>
      <w:lvlJc w:val="left"/>
      <w:pPr>
        <w:ind w:left="5432" w:hanging="360"/>
      </w:pPr>
    </w:lvl>
    <w:lvl w:ilvl="8">
      <w:start w:val="1"/>
      <w:numFmt w:val="lowerRoman"/>
      <w:lvlText w:val="%9."/>
      <w:lvlJc w:val="right"/>
      <w:pPr>
        <w:ind w:left="6152" w:hanging="180"/>
      </w:pPr>
    </w:lvl>
  </w:abstractNum>
  <w:abstractNum w:abstractNumId="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lvl w:ilvl="0">
      <w:start w:val="1"/>
      <w:numFmt w:val="lowerLetter"/>
      <w:lvlText w:val="%1.-"/>
      <w:lvlJc w:val="left"/>
      <w:pPr>
        <w:ind w:left="755" w:hanging="360"/>
      </w:pPr>
    </w:lvl>
    <w:lvl w:ilvl="1">
      <w:start w:val="1"/>
      <w:numFmt w:val="lowerLetter"/>
      <w:lvlText w:val="%2."/>
      <w:lvlJc w:val="left"/>
      <w:pPr>
        <w:ind w:left="1475" w:hanging="360"/>
      </w:pPr>
    </w:lvl>
    <w:lvl w:ilvl="2">
      <w:start w:val="1"/>
      <w:numFmt w:val="lowerRoman"/>
      <w:lvlText w:val="%3."/>
      <w:lvlJc w:val="right"/>
      <w:pPr>
        <w:ind w:left="2195" w:hanging="180"/>
      </w:pPr>
    </w:lvl>
    <w:lvl w:ilvl="3">
      <w:start w:val="1"/>
      <w:numFmt w:val="decimal"/>
      <w:lvlText w:val="%4."/>
      <w:lvlJc w:val="left"/>
      <w:pPr>
        <w:ind w:left="2915" w:hanging="360"/>
      </w:pPr>
    </w:lvl>
    <w:lvl w:ilvl="4">
      <w:start w:val="1"/>
      <w:numFmt w:val="lowerLetter"/>
      <w:lvlText w:val="%5."/>
      <w:lvlJc w:val="left"/>
      <w:pPr>
        <w:ind w:left="3635" w:hanging="360"/>
      </w:pPr>
    </w:lvl>
    <w:lvl w:ilvl="5">
      <w:start w:val="1"/>
      <w:numFmt w:val="lowerRoman"/>
      <w:lvlText w:val="%6."/>
      <w:lvlJc w:val="right"/>
      <w:pPr>
        <w:ind w:left="4355" w:hanging="180"/>
      </w:pPr>
    </w:lvl>
    <w:lvl w:ilvl="6">
      <w:start w:val="1"/>
      <w:numFmt w:val="decimal"/>
      <w:lvlText w:val="%7."/>
      <w:lvlJc w:val="left"/>
      <w:pPr>
        <w:ind w:left="5075" w:hanging="360"/>
      </w:pPr>
    </w:lvl>
    <w:lvl w:ilvl="7">
      <w:start w:val="1"/>
      <w:numFmt w:val="lowerLetter"/>
      <w:lvlText w:val="%8."/>
      <w:lvlJc w:val="left"/>
      <w:pPr>
        <w:ind w:left="5795" w:hanging="360"/>
      </w:pPr>
    </w:lvl>
    <w:lvl w:ilvl="8">
      <w:start w:val="1"/>
      <w:numFmt w:val="lowerRoman"/>
      <w:lvlText w:val="%9."/>
      <w:lvlJc w:val="right"/>
      <w:pPr>
        <w:ind w:left="6515" w:hanging="180"/>
      </w:pPr>
    </w:lvl>
  </w:abstractNum>
  <w:abstractNum w:abstractNumId="13">
    <w:lvl w:ilvl="0">
      <w:start w:val="1"/>
      <w:numFmt w:val="lowerLetter"/>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4">
    <w:lvl w:ilvl="0">
      <w:start w:val="1"/>
      <w:numFmt w:val="low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lvl w:ilvl="0">
      <w:start w:val="1"/>
      <w:numFmt w:val="low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lvl w:ilvl="0">
      <w:start w:val="1"/>
      <w:numFmt w:val="lowerLetter"/>
      <w:lvlText w:val="%1.-"/>
      <w:lvlJc w:val="left"/>
      <w:pPr>
        <w:ind w:left="753"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73" w:hanging="360"/>
      </w:pPr>
    </w:lvl>
    <w:lvl w:ilvl="2">
      <w:start w:val="1"/>
      <w:numFmt w:val="lowerRoman"/>
      <w:lvlText w:val="%3."/>
      <w:lvlJc w:val="right"/>
      <w:pPr>
        <w:ind w:left="2193" w:hanging="180"/>
      </w:pPr>
    </w:lvl>
    <w:lvl w:ilvl="3">
      <w:start w:val="1"/>
      <w:numFmt w:val="decimal"/>
      <w:lvlText w:val="%4."/>
      <w:lvlJc w:val="left"/>
      <w:pPr>
        <w:ind w:left="2913" w:hanging="360"/>
      </w:pPr>
    </w:lvl>
    <w:lvl w:ilvl="4">
      <w:start w:val="1"/>
      <w:numFmt w:val="lowerLetter"/>
      <w:lvlText w:val="%5."/>
      <w:lvlJc w:val="left"/>
      <w:pPr>
        <w:ind w:left="3633" w:hanging="360"/>
      </w:pPr>
    </w:lvl>
    <w:lvl w:ilvl="5">
      <w:start w:val="1"/>
      <w:numFmt w:val="lowerRoman"/>
      <w:lvlText w:val="%6."/>
      <w:lvlJc w:val="right"/>
      <w:pPr>
        <w:ind w:left="4353" w:hanging="180"/>
      </w:pPr>
    </w:lvl>
    <w:lvl w:ilvl="6">
      <w:start w:val="1"/>
      <w:numFmt w:val="decimal"/>
      <w:lvlText w:val="%7."/>
      <w:lvlJc w:val="left"/>
      <w:pPr>
        <w:ind w:left="5073" w:hanging="360"/>
      </w:pPr>
    </w:lvl>
    <w:lvl w:ilvl="7">
      <w:start w:val="1"/>
      <w:numFmt w:val="lowerLetter"/>
      <w:lvlText w:val="%8."/>
      <w:lvlJc w:val="left"/>
      <w:pPr>
        <w:ind w:left="5793" w:hanging="360"/>
      </w:pPr>
    </w:lvl>
    <w:lvl w:ilvl="8">
      <w:start w:val="1"/>
      <w:numFmt w:val="lowerRoman"/>
      <w:lvlText w:val="%9."/>
      <w:lvlJc w:val="right"/>
      <w:pPr>
        <w:ind w:left="6513" w:hanging="180"/>
      </w:pPr>
    </w:lvl>
  </w:abstractNum>
  <w:abstractNum w:abstractNumId="20">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rPr>
        <w:smallCaps w:val="false"/>
        <w:caps w:val="false"/>
        <w:sz w:val="24"/>
        <w:spacing w:val="0"/>
        <w:i w:val="false"/>
        <w:b w:val="false"/>
        <w:szCs w:val="24"/>
        <w:rFonts w:eastAsia="Times New Roman" w:cs="Arial"/>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rPr>
        <w:smallCaps w:val="false"/>
        <w:caps w:val="false"/>
        <w:sz w:val="24"/>
        <w:spacing w:val="0"/>
        <w:i w:val="false"/>
        <w:b w:val="false"/>
        <w:szCs w:val="24"/>
        <w:rFonts w:eastAsia="Times New Roman" w:cs="Arial"/>
        <w:color w:val="000000"/>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lvl w:ilvl="0">
      <w:start w:val="1"/>
      <w:numFmt w:val="lowerLetter"/>
      <w:lvlText w:val="%1.-"/>
      <w:lvlJc w:val="left"/>
      <w:pPr>
        <w:ind w:left="1179"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899" w:hanging="360"/>
      </w:pPr>
    </w:lvl>
    <w:lvl w:ilvl="2">
      <w:start w:val="1"/>
      <w:numFmt w:val="lowerRoman"/>
      <w:lvlText w:val="%3."/>
      <w:lvlJc w:val="right"/>
      <w:pPr>
        <w:ind w:left="2619" w:hanging="180"/>
      </w:pPr>
    </w:lvl>
    <w:lvl w:ilvl="3">
      <w:start w:val="1"/>
      <w:numFmt w:val="decimal"/>
      <w:lvlText w:val="%4."/>
      <w:lvlJc w:val="left"/>
      <w:pPr>
        <w:ind w:left="3339" w:hanging="360"/>
      </w:pPr>
    </w:lvl>
    <w:lvl w:ilvl="4">
      <w:start w:val="1"/>
      <w:numFmt w:val="lowerLetter"/>
      <w:lvlText w:val="%5."/>
      <w:lvlJc w:val="left"/>
      <w:pPr>
        <w:ind w:left="4059" w:hanging="360"/>
      </w:pPr>
    </w:lvl>
    <w:lvl w:ilvl="5">
      <w:start w:val="1"/>
      <w:numFmt w:val="lowerRoman"/>
      <w:lvlText w:val="%6."/>
      <w:lvlJc w:val="right"/>
      <w:pPr>
        <w:ind w:left="4779" w:hanging="180"/>
      </w:pPr>
    </w:lvl>
    <w:lvl w:ilvl="6">
      <w:start w:val="1"/>
      <w:numFmt w:val="decimal"/>
      <w:lvlText w:val="%7."/>
      <w:lvlJc w:val="left"/>
      <w:pPr>
        <w:ind w:left="5499" w:hanging="360"/>
      </w:pPr>
    </w:lvl>
    <w:lvl w:ilvl="7">
      <w:start w:val="1"/>
      <w:numFmt w:val="lowerLetter"/>
      <w:lvlText w:val="%8."/>
      <w:lvlJc w:val="left"/>
      <w:pPr>
        <w:ind w:left="6219" w:hanging="360"/>
      </w:pPr>
    </w:lvl>
    <w:lvl w:ilvl="8">
      <w:start w:val="1"/>
      <w:numFmt w:val="lowerRoman"/>
      <w:lvlText w:val="%9."/>
      <w:lvlJc w:val="right"/>
      <w:pPr>
        <w:ind w:left="6939" w:hanging="180"/>
      </w:pPr>
    </w:lvl>
  </w:abstractNum>
  <w:abstractNum w:abstractNumId="23">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2"/>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CL"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CL"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Normal (Web)"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c030c"/>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s-CL" w:eastAsia="en-US" w:bidi="ar-SA"/>
    </w:rPr>
  </w:style>
  <w:style w:type="paragraph" w:styleId="Ttulo1">
    <w:name w:val="Heading 1"/>
    <w:basedOn w:val="Normal"/>
    <w:next w:val="Normal"/>
    <w:link w:val="Ttulo1Car"/>
    <w:uiPriority w:val="9"/>
    <w:qFormat/>
    <w:rsid w:val="007d77d0"/>
    <w:pPr>
      <w:keepNext w:val="true"/>
      <w:keepLines/>
      <w:spacing w:before="480" w:after="0"/>
      <w:outlineLvl w:val="0"/>
    </w:pPr>
    <w:rPr>
      <w:rFonts w:ascii="Calibri Light" w:hAnsi="Calibri Light" w:eastAsia="新細明體" w:cs="" w:asciiTheme="majorHAnsi" w:cstheme="majorBidi" w:eastAsiaTheme="majorEastAsia" w:hAnsiTheme="majorHAnsi"/>
      <w:b/>
      <w:bCs/>
      <w:color w:val="2E74B5" w:themeColor="accent1" w:themeShade="bf"/>
      <w:sz w:val="28"/>
      <w:szCs w:val="28"/>
    </w:rPr>
  </w:style>
  <w:style w:type="character" w:styleId="DefaultParagraphFont" w:default="1">
    <w:name w:val="Default Paragraph Font"/>
    <w:uiPriority w:val="1"/>
    <w:semiHidden/>
    <w:unhideWhenUsed/>
    <w:qFormat/>
    <w:rPr/>
  </w:style>
  <w:style w:type="character" w:styleId="EnlacedeInternet" w:customStyle="1">
    <w:name w:val="Enlace de Internet"/>
    <w:rsid w:val="00d11b99"/>
    <w:rPr>
      <w:rFonts w:ascii="Times New Roman" w:hAnsi="Times New Roman" w:cs="Times New Roman"/>
      <w:color w:val="0000FF"/>
      <w:u w:val="single"/>
    </w:rPr>
  </w:style>
  <w:style w:type="character" w:styleId="EnlacedeInternetvisitado">
    <w:name w:val="Enlace de Internet visitado"/>
    <w:basedOn w:val="DefaultParagraphFont"/>
    <w:uiPriority w:val="99"/>
    <w:semiHidden/>
    <w:unhideWhenUsed/>
    <w:rsid w:val="00083738"/>
    <w:rPr>
      <w:color w:val="800080"/>
      <w:u w:val="single"/>
    </w:rPr>
  </w:style>
  <w:style w:type="character" w:styleId="EncabezadoCar" w:customStyle="1">
    <w:name w:val="Encabezado Car"/>
    <w:basedOn w:val="DefaultParagraphFont"/>
    <w:link w:val="Encabezado"/>
    <w:uiPriority w:val="99"/>
    <w:qFormat/>
    <w:rsid w:val="009d7e7c"/>
    <w:rPr/>
  </w:style>
  <w:style w:type="character" w:styleId="PiedepginaCar" w:customStyle="1">
    <w:name w:val="Pie de página Car"/>
    <w:basedOn w:val="DefaultParagraphFont"/>
    <w:link w:val="Piedepgina"/>
    <w:uiPriority w:val="99"/>
    <w:qFormat/>
    <w:rsid w:val="009d7e7c"/>
    <w:rPr/>
  </w:style>
  <w:style w:type="character" w:styleId="TextodegloboCar" w:customStyle="1">
    <w:name w:val="Texto de globo Car"/>
    <w:basedOn w:val="DefaultParagraphFont"/>
    <w:link w:val="Textodeglobo"/>
    <w:uiPriority w:val="99"/>
    <w:semiHidden/>
    <w:qFormat/>
    <w:rsid w:val="008b7557"/>
    <w:rPr>
      <w:rFonts w:ascii="Segoe UI" w:hAnsi="Segoe UI" w:cs="Segoe UI"/>
      <w:sz w:val="18"/>
      <w:szCs w:val="18"/>
    </w:rPr>
  </w:style>
  <w:style w:type="character" w:styleId="SangradetextonormalCar" w:customStyle="1">
    <w:name w:val="Sangría de texto normal Car"/>
    <w:basedOn w:val="DefaultParagraphFont"/>
    <w:link w:val="Sangradetextonormal"/>
    <w:semiHidden/>
    <w:qFormat/>
    <w:rsid w:val="0072750d"/>
    <w:rPr>
      <w:rFonts w:ascii="Arial" w:hAnsi="Arial" w:eastAsia="Times New Roman" w:cs="Arial"/>
      <w:sz w:val="24"/>
      <w:szCs w:val="24"/>
      <w:lang w:eastAsia="es-ES"/>
    </w:rPr>
  </w:style>
  <w:style w:type="character" w:styleId="Ttulo1Car" w:customStyle="1">
    <w:name w:val="Título 1 Car"/>
    <w:basedOn w:val="DefaultParagraphFont"/>
    <w:link w:val="Ttulo1"/>
    <w:uiPriority w:val="9"/>
    <w:qFormat/>
    <w:rsid w:val="007d77d0"/>
    <w:rPr>
      <w:rFonts w:ascii="Calibri Light" w:hAnsi="Calibri Light" w:eastAsia="新細明體" w:cs="" w:asciiTheme="majorHAnsi" w:cstheme="majorBidi" w:eastAsiaTheme="majorEastAsia" w:hAnsiTheme="majorHAnsi"/>
      <w:b/>
      <w:bCs/>
      <w:color w:val="2E74B5" w:themeColor="accent1" w:themeShade="bf"/>
      <w:sz w:val="28"/>
      <w:szCs w:val="28"/>
    </w:rPr>
  </w:style>
  <w:style w:type="character" w:styleId="Textoindependiente3Car" w:customStyle="1">
    <w:name w:val="Texto independiente 3 Car"/>
    <w:basedOn w:val="DefaultParagraphFont"/>
    <w:link w:val="Textoindependiente3"/>
    <w:uiPriority w:val="99"/>
    <w:semiHidden/>
    <w:qFormat/>
    <w:rsid w:val="00a34d3a"/>
    <w:rPr>
      <w:sz w:val="16"/>
      <w:szCs w:val="16"/>
    </w:rPr>
  </w:style>
  <w:style w:type="character" w:styleId="Textoindependiente2Car" w:customStyle="1">
    <w:name w:val="Texto independiente 2 Car"/>
    <w:basedOn w:val="DefaultParagraphFont"/>
    <w:link w:val="Textoindependiente2"/>
    <w:uiPriority w:val="99"/>
    <w:semiHidden/>
    <w:qFormat/>
    <w:rsid w:val="00af007b"/>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ucida Sans"/>
    </w:rPr>
  </w:style>
  <w:style w:type="paragraph" w:styleId="Ley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Xl63" w:customStyle="1">
    <w:name w:val="xl63"/>
    <w:basedOn w:val="Normal"/>
    <w:qFormat/>
    <w:rsid w:val="00083738"/>
    <w:pPr>
      <w:spacing w:lineRule="auto" w:line="240" w:beforeAutospacing="1" w:afterAutospacing="1"/>
    </w:pPr>
    <w:rPr>
      <w:rFonts w:ascii="Arial" w:hAnsi="Arial" w:eastAsia="Times New Roman" w:cs="Arial"/>
      <w:b/>
      <w:bCs/>
      <w:sz w:val="18"/>
      <w:szCs w:val="18"/>
      <w:lang w:eastAsia="es-CL"/>
    </w:rPr>
  </w:style>
  <w:style w:type="paragraph" w:styleId="Xl64" w:customStyle="1">
    <w:name w:val="xl64"/>
    <w:basedOn w:val="Normal"/>
    <w:qFormat/>
    <w:rsid w:val="00083738"/>
    <w:pPr>
      <w:spacing w:lineRule="auto" w:line="240" w:beforeAutospacing="1" w:afterAutospacing="1"/>
    </w:pPr>
    <w:rPr>
      <w:rFonts w:ascii="Times New Roman" w:hAnsi="Times New Roman" w:eastAsia="Times New Roman" w:cs="Times New Roman"/>
      <w:sz w:val="18"/>
      <w:szCs w:val="18"/>
      <w:lang w:eastAsia="es-CL"/>
    </w:rPr>
  </w:style>
  <w:style w:type="paragraph" w:styleId="Xl65" w:customStyle="1">
    <w:name w:val="xl65"/>
    <w:basedOn w:val="Normal"/>
    <w:qFormat/>
    <w:rsid w:val="00083738"/>
    <w:pP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66" w:customStyle="1">
    <w:name w:val="xl66"/>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jc w:val="both"/>
      <w:textAlignment w:val="center"/>
    </w:pPr>
    <w:rPr>
      <w:rFonts w:ascii="Arial" w:hAnsi="Arial" w:eastAsia="Times New Roman" w:cs="Arial"/>
      <w:sz w:val="18"/>
      <w:szCs w:val="18"/>
      <w:lang w:eastAsia="es-CL"/>
    </w:rPr>
  </w:style>
  <w:style w:type="paragraph" w:styleId="Xl67" w:customStyle="1">
    <w:name w:val="xl67"/>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68" w:customStyle="1">
    <w:name w:val="xl68"/>
    <w:basedOn w:val="Normal"/>
    <w:qFormat/>
    <w:rsid w:val="00083738"/>
    <w:pPr>
      <w:spacing w:lineRule="auto" w:line="240" w:beforeAutospacing="1" w:afterAutospacing="1"/>
    </w:pPr>
    <w:rPr>
      <w:rFonts w:ascii="Times New Roman" w:hAnsi="Times New Roman" w:eastAsia="Times New Roman" w:cs="Times New Roman"/>
      <w:sz w:val="16"/>
      <w:szCs w:val="16"/>
      <w:lang w:eastAsia="es-CL"/>
    </w:rPr>
  </w:style>
  <w:style w:type="paragraph" w:styleId="Xl69" w:customStyle="1">
    <w:name w:val="xl69"/>
    <w:basedOn w:val="Normal"/>
    <w:qFormat/>
    <w:rsid w:val="00083738"/>
    <w:pPr>
      <w:spacing w:lineRule="auto" w:line="240" w:beforeAutospacing="1" w:afterAutospacing="1"/>
    </w:pPr>
    <w:rPr>
      <w:rFonts w:ascii="Times New Roman" w:hAnsi="Times New Roman" w:eastAsia="Times New Roman" w:cs="Times New Roman"/>
      <w:sz w:val="16"/>
      <w:szCs w:val="16"/>
      <w:lang w:eastAsia="es-CL"/>
    </w:rPr>
  </w:style>
  <w:style w:type="paragraph" w:styleId="Xl70" w:customStyle="1">
    <w:name w:val="xl70"/>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71" w:customStyle="1">
    <w:name w:val="xl71"/>
    <w:basedOn w:val="Normal"/>
    <w:qFormat/>
    <w:rsid w:val="00083738"/>
    <w:pPr>
      <w:pBdr>
        <w:top w:val="single" w:sz="4" w:space="0" w:color="000000"/>
        <w:left w:val="single" w:sz="4" w:space="0" w:color="000000"/>
        <w:bottom w:val="single" w:sz="4" w:space="0" w:color="000000"/>
        <w:right w:val="single" w:sz="8"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72" w:customStyle="1">
    <w:name w:val="xl72"/>
    <w:basedOn w:val="Normal"/>
    <w:qFormat/>
    <w:rsid w:val="00083738"/>
    <w:pPr>
      <w:pBdr>
        <w:top w:val="single" w:sz="4" w:space="0" w:color="000000"/>
        <w:left w:val="single" w:sz="4" w:space="0" w:color="000000"/>
        <w:bottom w:val="single" w:sz="4" w:space="0" w:color="000000"/>
        <w:right w:val="single" w:sz="8"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73" w:customStyle="1">
    <w:name w:val="xl73"/>
    <w:basedOn w:val="Normal"/>
    <w:qFormat/>
    <w:rsid w:val="00083738"/>
    <w:pPr>
      <w:spacing w:lineRule="auto" w:line="240" w:beforeAutospacing="1" w:afterAutospacing="1"/>
      <w:jc w:val="center"/>
      <w:textAlignment w:val="center"/>
    </w:pPr>
    <w:rPr>
      <w:rFonts w:ascii="Times New Roman" w:hAnsi="Times New Roman" w:eastAsia="Times New Roman" w:cs="Times New Roman"/>
      <w:sz w:val="18"/>
      <w:szCs w:val="18"/>
      <w:lang w:eastAsia="es-CL"/>
    </w:rPr>
  </w:style>
  <w:style w:type="paragraph" w:styleId="Xl74" w:customStyle="1">
    <w:name w:val="xl74"/>
    <w:basedOn w:val="Normal"/>
    <w:qFormat/>
    <w:rsid w:val="00083738"/>
    <w:pPr>
      <w:spacing w:lineRule="auto" w:line="240" w:beforeAutospacing="1" w:afterAutospacing="1"/>
      <w:jc w:val="center"/>
    </w:pPr>
    <w:rPr>
      <w:rFonts w:ascii="Arial" w:hAnsi="Arial" w:eastAsia="Times New Roman" w:cs="Arial"/>
      <w:b/>
      <w:bCs/>
      <w:sz w:val="24"/>
      <w:szCs w:val="24"/>
      <w:lang w:eastAsia="es-CL"/>
    </w:rPr>
  </w:style>
  <w:style w:type="paragraph" w:styleId="Xl75" w:customStyle="1">
    <w:name w:val="xl75"/>
    <w:basedOn w:val="Normal"/>
    <w:qFormat/>
    <w:rsid w:val="00083738"/>
    <w:pPr>
      <w:pBdr>
        <w:top w:val="single" w:sz="8"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6" w:customStyle="1">
    <w:name w:val="xl76"/>
    <w:basedOn w:val="Normal"/>
    <w:qFormat/>
    <w:rsid w:val="00083738"/>
    <w:pPr>
      <w:pBdr>
        <w:top w:val="single" w:sz="8" w:space="0" w:color="000000"/>
        <w:bottom w:val="single" w:sz="8"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7" w:customStyle="1">
    <w:name w:val="xl77"/>
    <w:basedOn w:val="Normal"/>
    <w:qFormat/>
    <w:rsid w:val="00083738"/>
    <w:pPr>
      <w:pBdr>
        <w:top w:val="single" w:sz="8"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8" w:customStyle="1">
    <w:name w:val="xl78"/>
    <w:basedOn w:val="Normal"/>
    <w:qFormat/>
    <w:rsid w:val="00083738"/>
    <w:pPr>
      <w:pBdr>
        <w:top w:val="single" w:sz="8" w:space="0" w:color="000000"/>
        <w:left w:val="single" w:sz="4" w:space="0" w:color="000000"/>
        <w:bottom w:val="single" w:sz="8" w:space="0" w:color="000000"/>
        <w:right w:val="single" w:sz="8"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9" w:customStyle="1">
    <w:name w:val="xl79"/>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jc w:val="both"/>
      <w:textAlignment w:val="center"/>
    </w:pPr>
    <w:rPr>
      <w:rFonts w:ascii="Arial" w:hAnsi="Arial" w:eastAsia="Times New Roman" w:cs="Arial"/>
      <w:sz w:val="18"/>
      <w:szCs w:val="18"/>
      <w:lang w:eastAsia="es-CL"/>
    </w:rPr>
  </w:style>
  <w:style w:type="paragraph" w:styleId="Xl80" w:customStyle="1">
    <w:name w:val="xl80"/>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1" w:customStyle="1">
    <w:name w:val="xl81"/>
    <w:basedOn w:val="Normal"/>
    <w:qFormat/>
    <w:rsid w:val="00083738"/>
    <w:pPr>
      <w:pBdr>
        <w:top w:val="single" w:sz="8" w:space="0" w:color="000000"/>
        <w:left w:val="single" w:sz="4" w:space="0" w:color="000000"/>
        <w:bottom w:val="single" w:sz="4" w:space="0" w:color="000000"/>
        <w:right w:val="single" w:sz="8"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2" w:customStyle="1">
    <w:name w:val="xl82"/>
    <w:basedOn w:val="Normal"/>
    <w:qFormat/>
    <w:rsid w:val="00083738"/>
    <w:pPr>
      <w:pBdr>
        <w:top w:val="single" w:sz="4" w:space="0" w:color="000000"/>
        <w:left w:val="single" w:sz="4" w:space="0" w:color="000000"/>
        <w:bottom w:val="single" w:sz="8"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3" w:customStyle="1">
    <w:name w:val="xl83"/>
    <w:basedOn w:val="Normal"/>
    <w:qFormat/>
    <w:rsid w:val="00083738"/>
    <w:pPr>
      <w:pBdr>
        <w:top w:val="single" w:sz="4" w:space="0" w:color="000000"/>
        <w:left w:val="single" w:sz="4" w:space="0" w:color="000000"/>
        <w:bottom w:val="single" w:sz="8" w:space="0" w:color="000000"/>
        <w:right w:val="single" w:sz="8"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4" w:customStyle="1">
    <w:name w:val="xl84"/>
    <w:basedOn w:val="Normal"/>
    <w:qFormat/>
    <w:rsid w:val="00083738"/>
    <w:pPr>
      <w:pBdr>
        <w:top w:val="single" w:sz="8" w:space="0" w:color="000000"/>
        <w:left w:val="single" w:sz="8"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5" w:customStyle="1">
    <w:name w:val="xl85"/>
    <w:basedOn w:val="Normal"/>
    <w:qFormat/>
    <w:rsid w:val="00083738"/>
    <w:pPr>
      <w:pBdr>
        <w:top w:val="single" w:sz="4" w:space="0" w:color="000000"/>
        <w:left w:val="single" w:sz="8"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6" w:customStyle="1">
    <w:name w:val="xl86"/>
    <w:basedOn w:val="Normal"/>
    <w:qFormat/>
    <w:rsid w:val="00083738"/>
    <w:pPr>
      <w:pBdr>
        <w:top w:val="single" w:sz="4" w:space="0" w:color="000000"/>
        <w:left w:val="single" w:sz="8"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7" w:customStyle="1">
    <w:name w:val="xl87"/>
    <w:basedOn w:val="Normal"/>
    <w:qFormat/>
    <w:rsid w:val="00083738"/>
    <w:pPr>
      <w:pBdr>
        <w:top w:val="single" w:sz="4" w:space="0" w:color="000000"/>
        <w:left w:val="single" w:sz="8" w:space="0" w:color="000000"/>
        <w:bottom w:val="single" w:sz="8"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8" w:customStyle="1">
    <w:name w:val="xl88"/>
    <w:basedOn w:val="Normal"/>
    <w:qFormat/>
    <w:rsid w:val="00083738"/>
    <w:pPr>
      <w:pBdr>
        <w:top w:val="single" w:sz="8"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89" w:customStyle="1">
    <w:name w:val="xl89"/>
    <w:basedOn w:val="Normal"/>
    <w:qFormat/>
    <w:rsid w:val="00083738"/>
    <w:pPr>
      <w:pBdr>
        <w:top w:val="single" w:sz="8" w:space="0" w:color="000000"/>
        <w:left w:val="single" w:sz="4" w:space="0" w:color="000000"/>
        <w:bottom w:val="single" w:sz="8" w:space="0" w:color="000000"/>
        <w:right w:val="single" w:sz="4" w:space="0" w:color="000000"/>
      </w:pBdr>
      <w:spacing w:lineRule="auto" w:line="240" w:beforeAutospacing="1" w:afterAutospacing="1"/>
      <w:textAlignment w:val="center"/>
    </w:pPr>
    <w:rPr>
      <w:rFonts w:ascii="Arial" w:hAnsi="Arial" w:eastAsia="Times New Roman" w:cs="Arial"/>
      <w:b/>
      <w:bCs/>
      <w:sz w:val="18"/>
      <w:szCs w:val="18"/>
      <w:lang w:eastAsia="es-CL"/>
    </w:rPr>
  </w:style>
  <w:style w:type="paragraph" w:styleId="Xl90" w:customStyle="1">
    <w:name w:val="xl90"/>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sz w:val="18"/>
      <w:szCs w:val="18"/>
      <w:lang w:eastAsia="es-CL"/>
    </w:rPr>
  </w:style>
  <w:style w:type="paragraph" w:styleId="Xl91" w:customStyle="1">
    <w:name w:val="xl91"/>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sz w:val="18"/>
      <w:szCs w:val="18"/>
      <w:lang w:eastAsia="es-CL"/>
    </w:rPr>
  </w:style>
  <w:style w:type="paragraph" w:styleId="Xl92" w:customStyle="1">
    <w:name w:val="xl92"/>
    <w:basedOn w:val="Normal"/>
    <w:qFormat/>
    <w:rsid w:val="00083738"/>
    <w:pPr>
      <w:pBdr>
        <w:top w:val="single" w:sz="4"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sz w:val="18"/>
      <w:szCs w:val="18"/>
      <w:lang w:eastAsia="es-CL"/>
    </w:rPr>
  </w:style>
  <w:style w:type="paragraph" w:styleId="Xl93" w:customStyle="1">
    <w:name w:val="xl93"/>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Arial" w:hAnsi="Arial" w:eastAsia="Times New Roman" w:cs="Arial"/>
      <w:sz w:val="16"/>
      <w:szCs w:val="16"/>
      <w:lang w:eastAsia="es-CL"/>
    </w:rPr>
  </w:style>
  <w:style w:type="paragraph" w:styleId="Xl94" w:customStyle="1">
    <w:name w:val="xl94"/>
    <w:basedOn w:val="Normal"/>
    <w:qFormat/>
    <w:rsid w:val="00083738"/>
    <w:pPr>
      <w:pBdr>
        <w:top w:val="single" w:sz="4" w:space="0" w:color="000000"/>
        <w:left w:val="single" w:sz="4" w:space="0" w:color="000000"/>
        <w:bottom w:val="single" w:sz="8" w:space="0" w:color="000000"/>
        <w:right w:val="single" w:sz="4" w:space="0" w:color="000000"/>
      </w:pBdr>
      <w:spacing w:lineRule="auto" w:line="240" w:beforeAutospacing="1" w:afterAutospacing="1"/>
      <w:textAlignment w:val="center"/>
    </w:pPr>
    <w:rPr>
      <w:rFonts w:ascii="Arial" w:hAnsi="Arial" w:eastAsia="Times New Roman" w:cs="Arial"/>
      <w:sz w:val="16"/>
      <w:szCs w:val="16"/>
      <w:lang w:eastAsia="es-CL"/>
    </w:rPr>
  </w:style>
  <w:style w:type="paragraph" w:styleId="Xl95" w:customStyle="1">
    <w:name w:val="xl95"/>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Arial" w:hAnsi="Arial" w:eastAsia="Times New Roman" w:cs="Arial"/>
      <w:sz w:val="16"/>
      <w:szCs w:val="16"/>
      <w:lang w:eastAsia="es-CL"/>
    </w:rPr>
  </w:style>
  <w:style w:type="paragraph" w:styleId="Xl96" w:customStyle="1">
    <w:name w:val="xl96"/>
    <w:basedOn w:val="Normal"/>
    <w:qFormat/>
    <w:rsid w:val="00083738"/>
    <w:pPr>
      <w:spacing w:lineRule="auto" w:line="240" w:beforeAutospacing="1" w:afterAutospacing="1"/>
      <w:jc w:val="center"/>
    </w:pPr>
    <w:rPr>
      <w:rFonts w:ascii="Arial" w:hAnsi="Arial" w:eastAsia="Times New Roman" w:cs="Arial"/>
      <w:b/>
      <w:bCs/>
      <w:sz w:val="24"/>
      <w:szCs w:val="24"/>
      <w:u w:val="single"/>
      <w:lang w:eastAsia="es-CL"/>
    </w:rPr>
  </w:style>
  <w:style w:type="paragraph" w:styleId="Xl97" w:customStyle="1">
    <w:name w:val="xl97"/>
    <w:basedOn w:val="Normal"/>
    <w:qFormat/>
    <w:rsid w:val="00083738"/>
    <w:pPr>
      <w:pBdr>
        <w:top w:val="single" w:sz="8"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98" w:customStyle="1">
    <w:name w:val="xl98"/>
    <w:basedOn w:val="Normal"/>
    <w:qFormat/>
    <w:rsid w:val="00083738"/>
    <w:pPr>
      <w:pBdr>
        <w:top w:val="single" w:sz="4"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99" w:customStyle="1">
    <w:name w:val="xl99"/>
    <w:basedOn w:val="Normal"/>
    <w:qFormat/>
    <w:rsid w:val="00083738"/>
    <w:pPr>
      <w:pBdr>
        <w:top w:val="single" w:sz="4"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Cabeceraypie">
    <w:name w:val="Cabecera y pie"/>
    <w:basedOn w:val="Normal"/>
    <w:qFormat/>
    <w:pPr/>
    <w:rPr/>
  </w:style>
  <w:style w:type="paragraph" w:styleId="Cabecera">
    <w:name w:val="Header"/>
    <w:basedOn w:val="Normal"/>
    <w:link w:val="EncabezadoCar"/>
    <w:uiPriority w:val="99"/>
    <w:unhideWhenUsed/>
    <w:rsid w:val="009d7e7c"/>
    <w:pPr>
      <w:tabs>
        <w:tab w:val="clear" w:pos="708"/>
        <w:tab w:val="center" w:pos="4419" w:leader="none"/>
        <w:tab w:val="right" w:pos="8838" w:leader="none"/>
      </w:tabs>
      <w:spacing w:lineRule="auto" w:line="240" w:before="0" w:after="0"/>
    </w:pPr>
    <w:rPr/>
  </w:style>
  <w:style w:type="paragraph" w:styleId="Piedepgina">
    <w:name w:val="Footer"/>
    <w:basedOn w:val="Normal"/>
    <w:link w:val="PiedepginaCar"/>
    <w:uiPriority w:val="99"/>
    <w:unhideWhenUsed/>
    <w:rsid w:val="009d7e7c"/>
    <w:pPr>
      <w:tabs>
        <w:tab w:val="clear" w:pos="708"/>
        <w:tab w:val="center" w:pos="4419" w:leader="none"/>
        <w:tab w:val="right" w:pos="8838" w:leader="none"/>
      </w:tabs>
      <w:spacing w:lineRule="auto" w:line="240" w:before="0" w:after="0"/>
    </w:pPr>
    <w:rPr/>
  </w:style>
  <w:style w:type="paragraph" w:styleId="BalloonText">
    <w:name w:val="Balloon Text"/>
    <w:basedOn w:val="Normal"/>
    <w:link w:val="TextodegloboCar"/>
    <w:uiPriority w:val="99"/>
    <w:semiHidden/>
    <w:unhideWhenUsed/>
    <w:qFormat/>
    <w:rsid w:val="008b7557"/>
    <w:pPr>
      <w:spacing w:lineRule="auto" w:line="240" w:before="0" w:after="0"/>
    </w:pPr>
    <w:rPr>
      <w:rFonts w:ascii="Segoe UI" w:hAnsi="Segoe UI" w:cs="Segoe UI"/>
      <w:sz w:val="18"/>
      <w:szCs w:val="18"/>
    </w:rPr>
  </w:style>
  <w:style w:type="paragraph" w:styleId="ListParagraph">
    <w:name w:val="List Paragraph"/>
    <w:basedOn w:val="Normal"/>
    <w:uiPriority w:val="34"/>
    <w:qFormat/>
    <w:rsid w:val="008757a3"/>
    <w:pPr>
      <w:spacing w:before="0" w:after="160"/>
      <w:ind w:left="720" w:hanging="0"/>
      <w:contextualSpacing/>
    </w:pPr>
    <w:rPr/>
  </w:style>
  <w:style w:type="paragraph" w:styleId="Cuerpodetextoconsangra">
    <w:name w:val="Body Text Indent"/>
    <w:basedOn w:val="Normal"/>
    <w:link w:val="SangradetextonormalCar"/>
    <w:semiHidden/>
    <w:rsid w:val="0072750d"/>
    <w:pPr>
      <w:spacing w:lineRule="auto" w:line="240" w:before="0" w:after="0"/>
      <w:ind w:left="4560" w:hanging="0"/>
      <w:jc w:val="both"/>
    </w:pPr>
    <w:rPr>
      <w:rFonts w:ascii="Arial" w:hAnsi="Arial" w:eastAsia="Times New Roman" w:cs="Arial"/>
      <w:sz w:val="24"/>
      <w:szCs w:val="24"/>
      <w:lang w:eastAsia="es-ES"/>
    </w:rPr>
  </w:style>
  <w:style w:type="paragraph" w:styleId="NormalWeb">
    <w:name w:val="Normal (Web)"/>
    <w:basedOn w:val="Normal"/>
    <w:semiHidden/>
    <w:qFormat/>
    <w:rsid w:val="0097641b"/>
    <w:pPr>
      <w:spacing w:lineRule="auto" w:line="288" w:beforeAutospacing="1" w:after="142"/>
    </w:pPr>
    <w:rPr>
      <w:rFonts w:ascii="Arial Unicode MS" w:hAnsi="Arial Unicode MS" w:eastAsia="Times New Roman" w:cs="Arial Unicode MS"/>
      <w:sz w:val="24"/>
      <w:szCs w:val="24"/>
      <w:lang w:val="es-ES" w:eastAsia="es-ES"/>
    </w:rPr>
  </w:style>
  <w:style w:type="paragraph" w:styleId="BodyText3">
    <w:name w:val="Body Text 3"/>
    <w:basedOn w:val="Normal"/>
    <w:link w:val="Textoindependiente3Car"/>
    <w:uiPriority w:val="99"/>
    <w:semiHidden/>
    <w:unhideWhenUsed/>
    <w:qFormat/>
    <w:rsid w:val="00a34d3a"/>
    <w:pPr>
      <w:spacing w:before="0" w:after="120"/>
    </w:pPr>
    <w:rPr>
      <w:sz w:val="16"/>
      <w:szCs w:val="16"/>
    </w:rPr>
  </w:style>
  <w:style w:type="paragraph" w:styleId="BodyText2">
    <w:name w:val="Body Text 2"/>
    <w:basedOn w:val="Normal"/>
    <w:link w:val="Textoindependiente2Car"/>
    <w:uiPriority w:val="99"/>
    <w:semiHidden/>
    <w:unhideWhenUsed/>
    <w:qFormat/>
    <w:rsid w:val="00af007b"/>
    <w:pPr>
      <w:spacing w:lineRule="auto" w:line="480" w:before="0" w:after="120"/>
    </w:pPr>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uiPriority w:val="59"/>
    <w:rsid w:val="00083738"/>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aconcuadrcula1">
    <w:name w:val="Tabla con cuadrícula1"/>
    <w:basedOn w:val="Tablanormal"/>
    <w:uiPriority w:val="59"/>
    <w:rsid w:val="00bb65a5"/>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aconcuadrcula2">
    <w:name w:val="Tabla con cuadrícula2"/>
    <w:basedOn w:val="Tablanormal"/>
    <w:uiPriority w:val="59"/>
    <w:rsid w:val="00325bc7"/>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eyanez@dgtm.cl"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AB80E-C50D-4938-86C2-2CBE3152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Application>LibreOffice/6.4.0.3$Windows_X86_64 LibreOffice_project/b0a288ab3d2d4774cb44b62f04d5d28733ac6df8</Application>
  <Pages>10</Pages>
  <Words>4856</Words>
  <Characters>26536</Characters>
  <CharactersWithSpaces>31492</CharactersWithSpaces>
  <Paragraphs>351</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2021-11-02T18:07:00Z</dcterms:created>
  <dc:creator>Luis Zamora Inostroza</dc:creator>
  <dc:description/>
  <dc:language>es-CL</dc:language>
  <cp:lastModifiedBy>Luis Redlich Contreras</cp:lastModifiedBy>
  <cp:lastPrinted>2021-12-20T18:30:00Z</cp:lastPrinted>
  <dcterms:modified xsi:type="dcterms:W3CDTF">2021-12-21T12:00:00Z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